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2FB3D">
      <w:pPr>
        <w:pStyle w:val="20"/>
        <w:snapToGrid w:val="0"/>
        <w:spacing w:before="120" w:after="120" w:line="360" w:lineRule="auto"/>
        <w:jc w:val="right"/>
        <w:rPr>
          <w:rFonts w:hint="eastAsia" w:ascii="宋体" w:hAnsi="宋体" w:eastAsia="宋体" w:cs="宋体"/>
          <w:b/>
          <w:color w:val="auto"/>
          <w:sz w:val="36"/>
          <w:szCs w:val="36"/>
          <w:highlight w:val="none"/>
          <w:lang w:eastAsia="zh-CN"/>
        </w:rPr>
      </w:pPr>
      <w:bookmarkStart w:id="125" w:name="_GoBack"/>
      <w:r>
        <w:rPr>
          <w:rFonts w:hint="eastAsia" w:ascii="宋体" w:hAnsi="宋体" w:eastAsia="宋体" w:cs="宋体"/>
          <w:b/>
          <w:bCs/>
          <w:color w:val="auto"/>
          <w:sz w:val="36"/>
          <w:szCs w:val="36"/>
          <w:highlight w:val="none"/>
          <w:lang w:eastAsia="zh-CN"/>
        </w:rPr>
        <w:t>JSSDZX-2025125号</w:t>
      </w:r>
    </w:p>
    <w:p w14:paraId="6741E41C">
      <w:pPr>
        <w:jc w:val="right"/>
        <w:rPr>
          <w:rFonts w:hint="eastAsia" w:ascii="宋体" w:hAnsi="宋体" w:eastAsia="宋体" w:cs="宋体"/>
          <w:color w:val="auto"/>
          <w:sz w:val="36"/>
          <w:highlight w:val="none"/>
        </w:rPr>
      </w:pPr>
    </w:p>
    <w:p w14:paraId="4CBD6637">
      <w:pPr>
        <w:jc w:val="center"/>
        <w:rPr>
          <w:rFonts w:hint="eastAsia" w:ascii="宋体" w:hAnsi="宋体" w:eastAsia="宋体" w:cs="宋体"/>
          <w:b/>
          <w:bCs/>
          <w:color w:val="auto"/>
          <w:sz w:val="36"/>
          <w:highlight w:val="none"/>
          <w:lang w:eastAsia="zh-CN"/>
        </w:rPr>
      </w:pPr>
      <w:r>
        <w:rPr>
          <w:rFonts w:hint="eastAsia" w:ascii="宋体" w:hAnsi="宋体" w:eastAsia="宋体" w:cs="宋体"/>
          <w:b/>
          <w:bCs/>
          <w:color w:val="auto"/>
          <w:sz w:val="36"/>
          <w:highlight w:val="none"/>
          <w:lang w:eastAsia="zh-CN"/>
        </w:rPr>
        <w:t>GZ627地块房地产开发项目策划服务</w:t>
      </w:r>
      <w:r>
        <w:rPr>
          <w:rFonts w:hint="eastAsia" w:ascii="宋体" w:hAnsi="宋体" w:eastAsia="宋体" w:cs="宋体"/>
          <w:b/>
          <w:bCs/>
          <w:color w:val="auto"/>
          <w:sz w:val="36"/>
          <w:highlight w:val="none"/>
          <w:lang w:eastAsia="zh-CN"/>
        </w:rPr>
        <w:t>（第一期）</w:t>
      </w:r>
    </w:p>
    <w:p w14:paraId="4BA017F8">
      <w:pPr>
        <w:jc w:val="cente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t>公开招标文件</w:t>
      </w:r>
    </w:p>
    <w:p w14:paraId="18AA069B">
      <w:pPr>
        <w:jc w:val="center"/>
        <w:rPr>
          <w:rFonts w:hint="eastAsia" w:ascii="宋体" w:hAnsi="宋体" w:eastAsia="宋体" w:cs="宋体"/>
          <w:color w:val="auto"/>
          <w:sz w:val="36"/>
          <w:highlight w:val="none"/>
        </w:rPr>
      </w:pPr>
    </w:p>
    <w:p w14:paraId="39E2EE5E">
      <w:pPr>
        <w:jc w:val="left"/>
        <w:rPr>
          <w:rFonts w:hint="eastAsia" w:ascii="宋体" w:hAnsi="宋体" w:eastAsia="宋体" w:cs="宋体"/>
          <w:color w:val="auto"/>
          <w:sz w:val="36"/>
          <w:highlight w:val="none"/>
        </w:rPr>
      </w:pPr>
      <w:r>
        <w:rPr>
          <w:rFonts w:hint="eastAsia" w:ascii="宋体" w:hAnsi="宋体" w:eastAsia="宋体" w:cs="宋体"/>
          <w:color w:val="auto"/>
          <w:sz w:val="36"/>
          <w:highlight w:val="none"/>
        </w:rPr>
        <w:drawing>
          <wp:anchor distT="0" distB="0" distL="0" distR="0" simplePos="0" relativeHeight="251659264" behindDoc="0" locked="0" layoutInCell="1" allowOverlap="1">
            <wp:simplePos x="0" y="0"/>
            <wp:positionH relativeFrom="column">
              <wp:posOffset>409575</wp:posOffset>
            </wp:positionH>
            <wp:positionV relativeFrom="paragraph">
              <wp:posOffset>20955</wp:posOffset>
            </wp:positionV>
            <wp:extent cx="5274310" cy="3518535"/>
            <wp:effectExtent l="0" t="0" r="2540" b="5715"/>
            <wp:wrapTopAndBottom/>
            <wp:docPr id="1" name="图片 1" descr="src=http__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rc=http___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3518627"/>
                    </a:xfrm>
                    <a:prstGeom prst="rect">
                      <a:avLst/>
                    </a:prstGeom>
                    <a:noFill/>
                    <a:ln>
                      <a:noFill/>
                    </a:ln>
                  </pic:spPr>
                </pic:pic>
              </a:graphicData>
            </a:graphic>
          </wp:anchor>
        </w:drawing>
      </w:r>
    </w:p>
    <w:p w14:paraId="6AAD1B0B">
      <w:pPr>
        <w:jc w:val="center"/>
        <w:rPr>
          <w:rFonts w:hint="eastAsia" w:ascii="宋体" w:hAnsi="宋体" w:eastAsia="宋体" w:cs="宋体"/>
          <w:color w:val="auto"/>
          <w:sz w:val="36"/>
          <w:highlight w:val="none"/>
        </w:rPr>
      </w:pPr>
    </w:p>
    <w:p w14:paraId="18EE0F19">
      <w:pPr>
        <w:ind w:firstLine="506" w:firstLineChars="200"/>
        <w:rPr>
          <w:rFonts w:hint="eastAsia" w:ascii="宋体" w:hAnsi="宋体" w:eastAsia="宋体" w:cs="宋体"/>
          <w:b/>
          <w:bCs/>
          <w:color w:val="auto"/>
          <w:w w:val="90"/>
          <w:kern w:val="0"/>
          <w:sz w:val="28"/>
          <w:szCs w:val="28"/>
          <w:highlight w:val="none"/>
          <w:shd w:val="clear" w:color="auto" w:fill="FFFF00"/>
        </w:rPr>
      </w:pPr>
      <w:r>
        <w:rPr>
          <w:rFonts w:hint="eastAsia" w:ascii="宋体" w:hAnsi="宋体" w:eastAsia="宋体" w:cs="宋体"/>
          <w:b/>
          <w:bCs/>
          <w:color w:val="auto"/>
          <w:w w:val="90"/>
          <w:kern w:val="0"/>
          <w:sz w:val="28"/>
          <w:szCs w:val="28"/>
          <w:highlight w:val="none"/>
        </w:rPr>
        <w:t>采购人：扬州锦毓置业有限公司</w:t>
      </w:r>
    </w:p>
    <w:p w14:paraId="4CFB8C11">
      <w:pPr>
        <w:ind w:firstLine="506" w:firstLineChars="200"/>
        <w:rPr>
          <w:rFonts w:hint="eastAsia" w:ascii="宋体" w:hAnsi="宋体" w:eastAsia="宋体" w:cs="宋体"/>
          <w:b/>
          <w:bCs/>
          <w:color w:val="auto"/>
          <w:w w:val="90"/>
          <w:kern w:val="0"/>
          <w:sz w:val="28"/>
          <w:szCs w:val="28"/>
          <w:highlight w:val="none"/>
        </w:rPr>
      </w:pPr>
      <w:r>
        <w:rPr>
          <w:rFonts w:hint="eastAsia" w:ascii="宋体" w:hAnsi="宋体" w:eastAsia="宋体" w:cs="宋体"/>
          <w:b/>
          <w:bCs/>
          <w:color w:val="auto"/>
          <w:w w:val="90"/>
          <w:kern w:val="0"/>
          <w:sz w:val="28"/>
          <w:szCs w:val="28"/>
          <w:highlight w:val="none"/>
        </w:rPr>
        <w:t>采购代理机构(章)：江苏时代投资咨询有限公司</w:t>
      </w:r>
    </w:p>
    <w:p w14:paraId="7B84E114">
      <w:pPr>
        <w:ind w:firstLine="506" w:firstLineChars="200"/>
        <w:rPr>
          <w:rFonts w:hint="eastAsia" w:ascii="宋体" w:hAnsi="宋体" w:eastAsia="宋体" w:cs="宋体"/>
          <w:b/>
          <w:bCs/>
          <w:color w:val="auto"/>
          <w:w w:val="90"/>
          <w:kern w:val="0"/>
          <w:sz w:val="28"/>
          <w:szCs w:val="28"/>
          <w:highlight w:val="none"/>
        </w:rPr>
      </w:pPr>
      <w:r>
        <w:rPr>
          <w:rFonts w:hint="eastAsia" w:ascii="宋体" w:hAnsi="宋体" w:eastAsia="宋体" w:cs="宋体"/>
          <w:b/>
          <w:bCs/>
          <w:color w:val="auto"/>
          <w:w w:val="90"/>
          <w:kern w:val="0"/>
          <w:sz w:val="28"/>
          <w:szCs w:val="28"/>
          <w:highlight w:val="none"/>
        </w:rPr>
        <w:t>发   放   日   期：</w:t>
      </w:r>
      <w:bookmarkStart w:id="0" w:name="EB59c3faf64f2a4bd092a206fb1d0c3c03"/>
      <w:r>
        <w:rPr>
          <w:rFonts w:hint="eastAsia" w:ascii="宋体" w:hAnsi="宋体" w:eastAsia="宋体" w:cs="宋体"/>
          <w:b/>
          <w:bCs/>
          <w:color w:val="auto"/>
          <w:w w:val="90"/>
          <w:kern w:val="0"/>
          <w:sz w:val="28"/>
          <w:szCs w:val="28"/>
          <w:highlight w:val="none"/>
        </w:rPr>
        <w:t>2025年</w:t>
      </w:r>
      <w:r>
        <w:rPr>
          <w:rFonts w:hint="eastAsia" w:ascii="宋体" w:hAnsi="宋体" w:cs="宋体"/>
          <w:b/>
          <w:bCs/>
          <w:color w:val="auto"/>
          <w:w w:val="90"/>
          <w:kern w:val="0"/>
          <w:sz w:val="28"/>
          <w:szCs w:val="28"/>
          <w:highlight w:val="none"/>
          <w:lang w:val="en-US" w:eastAsia="zh-CN"/>
        </w:rPr>
        <w:t>6</w:t>
      </w:r>
      <w:r>
        <w:rPr>
          <w:rFonts w:hint="eastAsia" w:ascii="宋体" w:hAnsi="宋体" w:eastAsia="宋体" w:cs="宋体"/>
          <w:b/>
          <w:bCs/>
          <w:color w:val="auto"/>
          <w:w w:val="90"/>
          <w:kern w:val="0"/>
          <w:sz w:val="28"/>
          <w:szCs w:val="28"/>
          <w:highlight w:val="none"/>
        </w:rPr>
        <w:t>月</w:t>
      </w:r>
      <w:bookmarkEnd w:id="0"/>
      <w:r>
        <w:rPr>
          <w:rFonts w:hint="eastAsia" w:ascii="宋体" w:hAnsi="宋体" w:cs="宋体"/>
          <w:b/>
          <w:bCs/>
          <w:color w:val="auto"/>
          <w:w w:val="90"/>
          <w:kern w:val="0"/>
          <w:sz w:val="28"/>
          <w:szCs w:val="28"/>
          <w:highlight w:val="none"/>
          <w:lang w:val="en-US" w:eastAsia="zh-CN"/>
        </w:rPr>
        <w:t>3</w:t>
      </w:r>
      <w:r>
        <w:rPr>
          <w:rFonts w:hint="eastAsia" w:ascii="宋体" w:hAnsi="宋体" w:eastAsia="宋体" w:cs="宋体"/>
          <w:b/>
          <w:bCs/>
          <w:color w:val="auto"/>
          <w:w w:val="90"/>
          <w:kern w:val="0"/>
          <w:sz w:val="28"/>
          <w:szCs w:val="28"/>
          <w:highlight w:val="none"/>
        </w:rPr>
        <w:t>日</w:t>
      </w:r>
    </w:p>
    <w:p w14:paraId="070412FA">
      <w:pPr>
        <w:spacing w:before="0" w:beforeLines="0" w:after="0" w:afterLines="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sectPr>
          <w:headerReference r:id="rId3" w:type="default"/>
          <w:footerReference r:id="rId4" w:type="default"/>
          <w:pgSz w:w="11906" w:h="16838"/>
          <w:pgMar w:top="1440" w:right="1134" w:bottom="1440" w:left="1134" w:header="851" w:footer="850" w:gutter="0"/>
          <w:pgBorders>
            <w:top w:val="none" w:sz="0" w:space="0"/>
            <w:left w:val="none" w:sz="0" w:space="0"/>
            <w:bottom w:val="none" w:sz="0" w:space="0"/>
            <w:right w:val="none" w:sz="0" w:space="0"/>
          </w:pgBorders>
          <w:pgNumType w:start="1"/>
          <w:cols w:space="0" w:num="1"/>
          <w:docGrid w:type="lines" w:linePitch="312" w:charSpace="0"/>
        </w:sectPr>
      </w:pPr>
    </w:p>
    <w:sdt>
      <w:sdtPr>
        <w:rPr>
          <w:rFonts w:hint="eastAsia" w:ascii="宋体" w:hAnsi="宋体" w:eastAsia="宋体" w:cs="宋体"/>
          <w:color w:val="auto"/>
          <w:kern w:val="2"/>
          <w:sz w:val="24"/>
          <w:szCs w:val="24"/>
          <w:highlight w:val="none"/>
          <w:lang w:val="en-US" w:eastAsia="zh-CN" w:bidi="ar-SA"/>
        </w:rPr>
        <w:id w:val="147467802"/>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01FC5ED6">
          <w:pPr>
            <w:spacing w:before="0" w:beforeLines="0" w:after="0" w:afterLines="0" w:line="240" w:lineRule="auto"/>
            <w:ind w:left="0" w:leftChars="0" w:right="0" w:rightChars="0" w:firstLine="0" w:firstLineChars="0"/>
            <w:jc w:val="center"/>
            <w:rPr>
              <w:rFonts w:hint="eastAsia" w:ascii="宋体" w:hAnsi="宋体" w:eastAsia="宋体" w:cs="宋体"/>
              <w:color w:val="auto"/>
              <w:sz w:val="24"/>
              <w:szCs w:val="24"/>
              <w:highlight w:val="none"/>
            </w:rPr>
          </w:pPr>
          <w:bookmarkStart w:id="1" w:name="_Toc32420"/>
          <w:bookmarkStart w:id="2" w:name="OLE_LINK1"/>
          <w:r>
            <w:rPr>
              <w:rFonts w:hint="eastAsia" w:ascii="宋体" w:hAnsi="宋体" w:eastAsia="宋体" w:cs="宋体"/>
              <w:color w:val="auto"/>
              <w:sz w:val="24"/>
              <w:szCs w:val="24"/>
              <w:highlight w:val="none"/>
            </w:rPr>
            <w:t>目录</w:t>
          </w:r>
        </w:p>
        <w:p w14:paraId="0C7CAC11">
          <w:pPr>
            <w:pStyle w:val="2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36"/>
              <w:highlight w:val="none"/>
            </w:rPr>
            <w:fldChar w:fldCharType="begin"/>
          </w:r>
          <w:r>
            <w:rPr>
              <w:rFonts w:hint="eastAsia" w:ascii="宋体" w:hAnsi="宋体" w:eastAsia="宋体" w:cs="宋体"/>
              <w:color w:val="auto"/>
              <w:sz w:val="36"/>
              <w:highlight w:val="none"/>
            </w:rPr>
            <w:instrText xml:space="preserve">TOC \o "1-1" \h \u </w:instrText>
          </w:r>
          <w:r>
            <w:rPr>
              <w:rFonts w:hint="eastAsia" w:ascii="宋体" w:hAnsi="宋体" w:eastAsia="宋体" w:cs="宋体"/>
              <w:color w:val="auto"/>
              <w:sz w:val="36"/>
              <w:highlight w:val="none"/>
            </w:rPr>
            <w:fldChar w:fldCharType="separate"/>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_Toc13357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第一章 招标公告</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_Toc13357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14:paraId="6A9395AB">
          <w:pPr>
            <w:pStyle w:val="2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_Toc24393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第二章 投标人须知</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_Toc24393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4</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14:paraId="45D9B795">
          <w:pPr>
            <w:pStyle w:val="2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_Toc29810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第三章 合同条款及格式</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_Toc29810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14</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14:paraId="0BA10F4E">
          <w:pPr>
            <w:pStyle w:val="2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_Toc238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44"/>
              <w:highlight w:val="none"/>
            </w:rPr>
            <w:t>第四章 项目需求</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_Toc238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24</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14:paraId="2F7AA1E6">
          <w:pPr>
            <w:pStyle w:val="2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_Toc2367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第五章 评标方法及评标标准</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_Toc2367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27</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14:paraId="045DA0D2">
          <w:pPr>
            <w:pStyle w:val="2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HYPERLINK \l _Toc29163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第六章 投标文件格式</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fldChar w:fldCharType="begin"/>
          </w:r>
          <w:r>
            <w:rPr>
              <w:rFonts w:hint="eastAsia" w:ascii="宋体" w:hAnsi="宋体" w:eastAsia="宋体" w:cs="宋体"/>
              <w:color w:val="auto"/>
              <w:sz w:val="24"/>
              <w:szCs w:val="28"/>
              <w:highlight w:val="none"/>
            </w:rPr>
            <w:instrText xml:space="preserve"> PAGEREF _Toc29163 \h </w:instrText>
          </w:r>
          <w:r>
            <w:rPr>
              <w:rFonts w:hint="eastAsia" w:ascii="宋体" w:hAnsi="宋体" w:eastAsia="宋体" w:cs="宋体"/>
              <w:color w:val="auto"/>
              <w:sz w:val="24"/>
              <w:szCs w:val="28"/>
              <w:highlight w:val="none"/>
            </w:rPr>
            <w:fldChar w:fldCharType="separate"/>
          </w:r>
          <w:r>
            <w:rPr>
              <w:rFonts w:hint="eastAsia" w:ascii="宋体" w:hAnsi="宋体" w:eastAsia="宋体" w:cs="宋体"/>
              <w:color w:val="auto"/>
              <w:sz w:val="24"/>
              <w:szCs w:val="28"/>
              <w:highlight w:val="none"/>
            </w:rPr>
            <w:t>29</w:t>
          </w:r>
          <w:r>
            <w:rPr>
              <w:rFonts w:hint="eastAsia" w:ascii="宋体" w:hAnsi="宋体" w:eastAsia="宋体" w:cs="宋体"/>
              <w:color w:val="auto"/>
              <w:sz w:val="24"/>
              <w:szCs w:val="28"/>
              <w:highlight w:val="none"/>
            </w:rPr>
            <w:fldChar w:fldCharType="end"/>
          </w:r>
          <w:r>
            <w:rPr>
              <w:rFonts w:hint="eastAsia" w:ascii="宋体" w:hAnsi="宋体" w:eastAsia="宋体" w:cs="宋体"/>
              <w:color w:val="auto"/>
              <w:sz w:val="24"/>
              <w:szCs w:val="28"/>
              <w:highlight w:val="none"/>
            </w:rPr>
            <w:fldChar w:fldCharType="end"/>
          </w:r>
        </w:p>
        <w:p w14:paraId="77B4CDA9">
          <w:pP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fldChar w:fldCharType="end"/>
          </w:r>
        </w:p>
      </w:sdtContent>
    </w:sdt>
    <w:p w14:paraId="03CEABF6">
      <w:pPr>
        <w:pStyle w:val="21"/>
        <w:rPr>
          <w:rFonts w:hint="eastAsia" w:ascii="宋体" w:hAnsi="宋体" w:eastAsia="宋体" w:cs="宋体"/>
          <w:color w:val="auto"/>
          <w:highlight w:val="none"/>
        </w:rPr>
      </w:pPr>
    </w:p>
    <w:p w14:paraId="5F05AADD">
      <w:pPr>
        <w:rPr>
          <w:rFonts w:hint="eastAsia" w:ascii="宋体" w:hAnsi="宋体" w:eastAsia="宋体" w:cs="宋体"/>
          <w:color w:val="auto"/>
          <w:sz w:val="36"/>
          <w:highlight w:val="none"/>
        </w:rPr>
      </w:pPr>
    </w:p>
    <w:p w14:paraId="6B70CFF9">
      <w:pPr>
        <w:pStyle w:val="2"/>
        <w:spacing w:before="0" w:after="0" w:line="360" w:lineRule="auto"/>
        <w:jc w:val="center"/>
        <w:rPr>
          <w:rFonts w:hint="eastAsia" w:ascii="宋体" w:hAnsi="宋体" w:eastAsia="宋体" w:cs="宋体"/>
          <w:color w:val="auto"/>
          <w:sz w:val="36"/>
          <w:highlight w:val="none"/>
        </w:rPr>
        <w:sectPr>
          <w:footerReference r:id="rId5" w:type="default"/>
          <w:pgSz w:w="11906" w:h="16838"/>
          <w:pgMar w:top="1440" w:right="1134" w:bottom="1440" w:left="1134" w:header="851" w:footer="850" w:gutter="0"/>
          <w:pgBorders>
            <w:top w:val="none" w:sz="0" w:space="0"/>
            <w:left w:val="none" w:sz="0" w:space="0"/>
            <w:bottom w:val="none" w:sz="0" w:space="0"/>
            <w:right w:val="none" w:sz="0" w:space="0"/>
          </w:pgBorders>
          <w:pgNumType w:start="1"/>
          <w:cols w:space="0" w:num="1"/>
          <w:docGrid w:type="lines" w:linePitch="312" w:charSpace="0"/>
        </w:sectPr>
      </w:pPr>
      <w:bookmarkStart w:id="3" w:name="_Toc13357"/>
    </w:p>
    <w:p w14:paraId="5EDD849F">
      <w:pPr>
        <w:pStyle w:val="2"/>
        <w:spacing w:before="0" w:after="0"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第一章 招标公告</w:t>
      </w:r>
      <w:bookmarkEnd w:id="1"/>
      <w:bookmarkEnd w:id="3"/>
    </w:p>
    <w:p w14:paraId="2AA866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江苏时代投资咨询有限公司</w:t>
      </w:r>
      <w:r>
        <w:rPr>
          <w:rFonts w:hint="eastAsia" w:ascii="宋体" w:hAnsi="宋体" w:eastAsia="宋体" w:cs="宋体"/>
          <w:color w:val="auto"/>
          <w:highlight w:val="none"/>
        </w:rPr>
        <w:t>（以下简称“代理机构”）受扬州锦毓置业有限公司（以下简称“采购人”）的委托，就“</w:t>
      </w:r>
      <w:r>
        <w:rPr>
          <w:rFonts w:hint="eastAsia" w:ascii="宋体" w:hAnsi="宋体" w:eastAsia="宋体" w:cs="宋体"/>
          <w:color w:val="auto"/>
          <w:highlight w:val="none"/>
          <w:lang w:eastAsia="zh-CN"/>
        </w:rPr>
        <w:t>GZ627地块房地产开发项目策划服务（第一期）</w:t>
      </w:r>
      <w:r>
        <w:rPr>
          <w:rFonts w:hint="eastAsia" w:ascii="宋体" w:hAnsi="宋体" w:eastAsia="宋体" w:cs="宋体"/>
          <w:color w:val="auto"/>
          <w:highlight w:val="none"/>
        </w:rPr>
        <w:t>”进行公开招标，现欢迎符合相关条件的投标。</w:t>
      </w:r>
    </w:p>
    <w:p w14:paraId="338C126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08BC38B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GZ627地块房地产开发项目策划服务（第一期）</w:t>
      </w:r>
      <w:r>
        <w:rPr>
          <w:rFonts w:hint="eastAsia" w:ascii="宋体" w:hAnsi="宋体" w:eastAsia="宋体" w:cs="宋体"/>
          <w:color w:val="auto"/>
          <w:szCs w:val="21"/>
          <w:highlight w:val="none"/>
        </w:rPr>
        <w:t>招标项目的潜在投标人应在</w:t>
      </w:r>
      <w:r>
        <w:rPr>
          <w:rFonts w:hint="eastAsia" w:ascii="宋体" w:hAnsi="宋体" w:eastAsia="宋体" w:cs="宋体"/>
          <w:color w:val="auto"/>
          <w:szCs w:val="21"/>
          <w:highlight w:val="none"/>
          <w:u w:val="single"/>
        </w:rPr>
        <w:t>“扬州市公共资源交易平台邗江分中心国企采购栏目”、“扬州维扬发展投资有限公司”</w:t>
      </w:r>
      <w:r>
        <w:rPr>
          <w:rFonts w:hint="eastAsia" w:ascii="宋体" w:hAnsi="宋体" w:eastAsia="宋体" w:cs="宋体"/>
          <w:color w:val="auto"/>
          <w:highlight w:val="none"/>
          <w:u w:val="single"/>
        </w:rPr>
        <w:t>网站</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2025年6</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24</w:t>
      </w:r>
      <w:r>
        <w:rPr>
          <w:rFonts w:hint="eastAsia" w:ascii="宋体" w:hAnsi="宋体" w:eastAsia="宋体" w:cs="宋体"/>
          <w:bCs/>
          <w:color w:val="auto"/>
          <w:szCs w:val="21"/>
          <w:highlight w:val="none"/>
          <w:u w:val="single"/>
        </w:rPr>
        <w:t>日15点00分</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5BC7E3B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bookmarkStart w:id="4" w:name="_Toc35393790"/>
      <w:bookmarkStart w:id="5" w:name="_Toc28359002"/>
      <w:bookmarkStart w:id="6" w:name="_Toc28359079"/>
      <w:bookmarkStart w:id="7" w:name="_Toc35393621"/>
      <w:bookmarkStart w:id="8" w:name="_Hlk24379207"/>
      <w:r>
        <w:rPr>
          <w:rFonts w:hint="eastAsia" w:ascii="宋体" w:hAnsi="宋体" w:eastAsia="宋体" w:cs="宋体"/>
          <w:b/>
          <w:bCs/>
          <w:color w:val="auto"/>
          <w:szCs w:val="21"/>
          <w:highlight w:val="none"/>
        </w:rPr>
        <w:t>一、项目基本情况</w:t>
      </w:r>
      <w:bookmarkEnd w:id="4"/>
      <w:bookmarkEnd w:id="5"/>
      <w:bookmarkEnd w:id="6"/>
      <w:bookmarkEnd w:id="7"/>
    </w:p>
    <w:p w14:paraId="6A10DE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JSSDZX-2025125号</w:t>
      </w:r>
    </w:p>
    <w:p w14:paraId="3A5F9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项目名称：</w:t>
      </w:r>
      <w:bookmarkEnd w:id="8"/>
      <w:r>
        <w:rPr>
          <w:rFonts w:hint="eastAsia" w:ascii="宋体" w:hAnsi="宋体" w:eastAsia="宋体" w:cs="宋体"/>
          <w:color w:val="auto"/>
          <w:szCs w:val="21"/>
          <w:highlight w:val="none"/>
          <w:lang w:eastAsia="zh-CN"/>
        </w:rPr>
        <w:t>GZ627地块房地产开发项目策划服务（第一期）</w:t>
      </w:r>
    </w:p>
    <w:p w14:paraId="6AAED4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pacing w:val="-6"/>
          <w:szCs w:val="21"/>
          <w:highlight w:val="none"/>
        </w:rPr>
        <w:t>采购方式：公开招标</w:t>
      </w:r>
    </w:p>
    <w:p w14:paraId="7B758E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万元。</w:t>
      </w:r>
    </w:p>
    <w:p w14:paraId="194438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最高投标限价：</w:t>
      </w: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万元，报价超过</w:t>
      </w:r>
      <w:r>
        <w:rPr>
          <w:rFonts w:hint="eastAsia" w:ascii="宋体" w:hAnsi="宋体" w:eastAsia="宋体" w:cs="宋体"/>
          <w:color w:val="auto"/>
          <w:szCs w:val="21"/>
          <w:highlight w:val="none"/>
          <w:lang w:eastAsia="zh-CN"/>
        </w:rPr>
        <w:t>最高投标限价</w:t>
      </w:r>
      <w:r>
        <w:rPr>
          <w:rFonts w:hint="eastAsia" w:ascii="宋体" w:hAnsi="宋体" w:eastAsia="宋体" w:cs="宋体"/>
          <w:color w:val="auto"/>
          <w:szCs w:val="21"/>
          <w:highlight w:val="none"/>
        </w:rPr>
        <w:t>的视为无效响应文件。</w:t>
      </w:r>
    </w:p>
    <w:p w14:paraId="577364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single"/>
          <w:shd w:val="clear" w:color="auto" w:fill="FFC000"/>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采购需求：见招标文件第四章</w:t>
      </w:r>
      <w:r>
        <w:rPr>
          <w:rFonts w:hint="eastAsia" w:ascii="宋体" w:hAnsi="宋体" w:eastAsia="宋体" w:cs="宋体"/>
          <w:color w:val="auto"/>
          <w:szCs w:val="21"/>
          <w:highlight w:val="none"/>
          <w:lang w:eastAsia="zh-CN"/>
        </w:rPr>
        <w:t>。</w:t>
      </w:r>
    </w:p>
    <w:p w14:paraId="5C44FF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合同履行期限：</w:t>
      </w:r>
      <w:r>
        <w:rPr>
          <w:rFonts w:hint="eastAsia" w:ascii="宋体" w:hAnsi="宋体" w:eastAsia="宋体" w:cs="宋体"/>
          <w:color w:val="auto"/>
          <w:kern w:val="0"/>
          <w:szCs w:val="21"/>
          <w:highlight w:val="none"/>
        </w:rPr>
        <w:t>12个月</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自甲方书面通知进场</w:t>
      </w:r>
      <w:r>
        <w:rPr>
          <w:rFonts w:hint="eastAsia" w:ascii="宋体" w:hAnsi="宋体" w:eastAsia="宋体" w:cs="宋体"/>
          <w:color w:val="auto"/>
          <w:kern w:val="0"/>
          <w:szCs w:val="21"/>
          <w:highlight w:val="none"/>
          <w:lang w:val="en-US" w:eastAsia="zh-CN"/>
        </w:rPr>
        <w:t>之日起算</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DA29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本项目</w:t>
      </w:r>
      <w:r>
        <w:rPr>
          <w:rFonts w:hint="eastAsia" w:ascii="宋体" w:hAnsi="宋体" w:eastAsia="宋体" w:cs="宋体"/>
          <w:i/>
          <w:iCs/>
          <w:color w:val="auto"/>
          <w:szCs w:val="21"/>
          <w:highlight w:val="none"/>
          <w:u w:val="single"/>
        </w:rPr>
        <w:t>不接受</w:t>
      </w:r>
      <w:r>
        <w:rPr>
          <w:rFonts w:hint="eastAsia" w:ascii="宋体" w:hAnsi="宋体" w:eastAsia="宋体" w:cs="宋体"/>
          <w:color w:val="auto"/>
          <w:szCs w:val="21"/>
          <w:highlight w:val="none"/>
        </w:rPr>
        <w:t>联合体投标。</w:t>
      </w:r>
    </w:p>
    <w:p w14:paraId="64B7A05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bookmarkStart w:id="9" w:name="_Toc28359003"/>
      <w:bookmarkStart w:id="10" w:name="_Toc28359080"/>
      <w:bookmarkStart w:id="11" w:name="_Toc35393791"/>
      <w:bookmarkStart w:id="12" w:name="_Toc35393622"/>
      <w:r>
        <w:rPr>
          <w:rFonts w:hint="eastAsia" w:ascii="宋体" w:hAnsi="宋体" w:eastAsia="宋体" w:cs="宋体"/>
          <w:b/>
          <w:bCs/>
          <w:color w:val="auto"/>
          <w:szCs w:val="21"/>
          <w:highlight w:val="none"/>
        </w:rPr>
        <w:t>二、申请人的资格要求</w:t>
      </w:r>
      <w:bookmarkEnd w:id="9"/>
      <w:bookmarkEnd w:id="10"/>
      <w:bookmarkEnd w:id="11"/>
      <w:bookmarkEnd w:id="12"/>
    </w:p>
    <w:p w14:paraId="4F729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满足以下规定，并提供下列材料：</w:t>
      </w:r>
    </w:p>
    <w:p w14:paraId="6CAE67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bookmarkStart w:id="13" w:name="_Toc28359004"/>
      <w:bookmarkStart w:id="14" w:name="_Toc28359081"/>
      <w:r>
        <w:rPr>
          <w:rFonts w:hint="eastAsia" w:ascii="宋体" w:hAnsi="宋体" w:eastAsia="宋体" w:cs="宋体"/>
          <w:i/>
          <w:iCs/>
          <w:color w:val="auto"/>
          <w:szCs w:val="21"/>
          <w:highlight w:val="none"/>
          <w:u w:val="single"/>
        </w:rPr>
        <w:t>1.1 投标函(原件)</w:t>
      </w:r>
      <w:r>
        <w:rPr>
          <w:rFonts w:hint="eastAsia" w:ascii="宋体" w:hAnsi="宋体" w:eastAsia="宋体" w:cs="宋体"/>
          <w:i/>
          <w:iCs/>
          <w:color w:val="auto"/>
          <w:szCs w:val="21"/>
          <w:highlight w:val="none"/>
          <w:u w:val="single"/>
          <w:lang w:eastAsia="zh-CN"/>
        </w:rPr>
        <w:t>；</w:t>
      </w:r>
    </w:p>
    <w:p w14:paraId="279707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1.2 资格声明(原件)</w:t>
      </w:r>
      <w:r>
        <w:rPr>
          <w:rFonts w:hint="eastAsia" w:ascii="宋体" w:hAnsi="宋体" w:eastAsia="宋体" w:cs="宋体"/>
          <w:i/>
          <w:iCs/>
          <w:color w:val="auto"/>
          <w:szCs w:val="21"/>
          <w:highlight w:val="none"/>
          <w:u w:val="single"/>
          <w:lang w:eastAsia="zh-CN"/>
        </w:rPr>
        <w:t>；</w:t>
      </w:r>
    </w:p>
    <w:p w14:paraId="4DA29A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1.3</w:t>
      </w:r>
      <w:r>
        <w:rPr>
          <w:rFonts w:hint="eastAsia" w:ascii="宋体" w:hAnsi="宋体" w:eastAsia="宋体" w:cs="宋体"/>
          <w:i/>
          <w:iCs/>
          <w:color w:val="auto"/>
          <w:szCs w:val="21"/>
          <w:highlight w:val="none"/>
          <w:u w:val="single"/>
        </w:rPr>
        <w:t>若法定代表人参加投标的，须提供本人身份证复印件加盖供应商公章</w:t>
      </w:r>
      <w:r>
        <w:rPr>
          <w:rFonts w:hint="eastAsia" w:ascii="宋体" w:hAnsi="宋体" w:eastAsia="宋体" w:cs="宋体"/>
          <w:b w:val="0"/>
          <w:bCs w:val="0"/>
          <w:i/>
          <w:iCs/>
          <w:color w:val="auto"/>
          <w:szCs w:val="21"/>
          <w:highlight w:val="none"/>
          <w:u w:val="single"/>
        </w:rPr>
        <w:t>(原件备查</w:t>
      </w:r>
      <w:r>
        <w:rPr>
          <w:rFonts w:hint="eastAsia" w:ascii="宋体" w:hAnsi="宋体" w:eastAsia="宋体" w:cs="宋体"/>
          <w:b/>
          <w:bCs/>
          <w:i/>
          <w:iCs/>
          <w:color w:val="auto"/>
          <w:szCs w:val="21"/>
          <w:highlight w:val="none"/>
          <w:u w:val="single"/>
        </w:rPr>
        <w:t>)</w:t>
      </w:r>
      <w:r>
        <w:rPr>
          <w:rFonts w:hint="eastAsia" w:ascii="宋体" w:hAnsi="宋体" w:eastAsia="宋体" w:cs="宋体"/>
          <w:i/>
          <w:iCs/>
          <w:color w:val="auto"/>
          <w:szCs w:val="21"/>
          <w:highlight w:val="none"/>
          <w:u w:val="single"/>
        </w:rPr>
        <w:t>；若授权代表参加的，须提供《法人授权书》原件和授权代表身份证复印件加盖供应商公章</w:t>
      </w:r>
      <w:r>
        <w:rPr>
          <w:rFonts w:hint="eastAsia" w:ascii="宋体" w:hAnsi="宋体" w:eastAsia="宋体" w:cs="宋体"/>
          <w:b w:val="0"/>
          <w:bCs w:val="0"/>
          <w:i/>
          <w:iCs/>
          <w:color w:val="auto"/>
          <w:szCs w:val="21"/>
          <w:highlight w:val="none"/>
          <w:u w:val="single"/>
        </w:rPr>
        <w:t>（原件备查）</w:t>
      </w:r>
      <w:r>
        <w:rPr>
          <w:rFonts w:hint="eastAsia" w:ascii="宋体" w:hAnsi="宋体" w:eastAsia="宋体" w:cs="宋体"/>
          <w:i/>
          <w:iCs/>
          <w:color w:val="auto"/>
          <w:szCs w:val="21"/>
          <w:highlight w:val="none"/>
          <w:u w:val="single"/>
          <w:lang w:eastAsia="zh-CN"/>
        </w:rPr>
        <w:t>；</w:t>
      </w:r>
    </w:p>
    <w:p w14:paraId="7528E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1.4 营业执照副本(</w:t>
      </w:r>
      <w:r>
        <w:rPr>
          <w:rFonts w:hint="eastAsia" w:ascii="宋体" w:hAnsi="宋体" w:eastAsia="宋体" w:cs="宋体"/>
          <w:i/>
          <w:iCs/>
          <w:color w:val="auto"/>
          <w:szCs w:val="21"/>
          <w:highlight w:val="none"/>
          <w:u w:val="single"/>
          <w:lang w:eastAsia="zh-CN"/>
        </w:rPr>
        <w:t>复印件加盖供应商公章</w:t>
      </w:r>
      <w:r>
        <w:rPr>
          <w:rFonts w:hint="eastAsia" w:ascii="宋体" w:hAnsi="宋体" w:eastAsia="宋体" w:cs="宋体"/>
          <w:i/>
          <w:iCs/>
          <w:color w:val="auto"/>
          <w:szCs w:val="21"/>
          <w:highlight w:val="none"/>
          <w:u w:val="single"/>
        </w:rPr>
        <w:t>)</w:t>
      </w:r>
      <w:r>
        <w:rPr>
          <w:rFonts w:hint="eastAsia" w:ascii="宋体" w:hAnsi="宋体" w:eastAsia="宋体" w:cs="宋体"/>
          <w:i/>
          <w:iCs/>
          <w:color w:val="auto"/>
          <w:szCs w:val="21"/>
          <w:highlight w:val="none"/>
          <w:u w:val="single"/>
          <w:lang w:eastAsia="zh-CN"/>
        </w:rPr>
        <w:t>；</w:t>
      </w:r>
    </w:p>
    <w:p w14:paraId="781F3F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1.5依法缴纳职工社会保障资金的证明材料(</w:t>
      </w:r>
      <w:r>
        <w:rPr>
          <w:rFonts w:hint="eastAsia" w:ascii="宋体" w:hAnsi="宋体" w:eastAsia="宋体" w:cs="宋体"/>
          <w:i/>
          <w:iCs/>
          <w:color w:val="auto"/>
          <w:szCs w:val="21"/>
          <w:highlight w:val="none"/>
          <w:u w:val="single"/>
          <w:lang w:eastAsia="zh-CN"/>
        </w:rPr>
        <w:t>复印件加盖供应商公章</w:t>
      </w:r>
      <w:r>
        <w:rPr>
          <w:rFonts w:hint="eastAsia" w:ascii="宋体" w:hAnsi="宋体" w:eastAsia="宋体" w:cs="宋体"/>
          <w:i/>
          <w:iCs/>
          <w:color w:val="auto"/>
          <w:szCs w:val="21"/>
          <w:highlight w:val="none"/>
          <w:u w:val="single"/>
        </w:rPr>
        <w:t>)(税务、银行或社会保险基金管理部门出具的近三个月内任意一月（2025年3月-2025年5月）缴纳职工社会保障资金的缴款凭证或缴款证明)</w:t>
      </w:r>
      <w:r>
        <w:rPr>
          <w:rFonts w:hint="eastAsia" w:ascii="宋体" w:hAnsi="宋体" w:eastAsia="宋体" w:cs="宋体"/>
          <w:i/>
          <w:iCs/>
          <w:color w:val="auto"/>
          <w:szCs w:val="21"/>
          <w:highlight w:val="none"/>
          <w:u w:val="single"/>
          <w:lang w:eastAsia="zh-CN"/>
        </w:rPr>
        <w:t>；</w:t>
      </w:r>
    </w:p>
    <w:p w14:paraId="4E1450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1.6供应商近三个月内任意一个月（2025年3月-2025年5月）依法纳税的缴款凭证(</w:t>
      </w:r>
      <w:r>
        <w:rPr>
          <w:rFonts w:hint="eastAsia" w:ascii="宋体" w:hAnsi="宋体" w:eastAsia="宋体" w:cs="宋体"/>
          <w:i/>
          <w:iCs/>
          <w:color w:val="auto"/>
          <w:szCs w:val="21"/>
          <w:highlight w:val="none"/>
          <w:u w:val="single"/>
          <w:lang w:eastAsia="zh-CN"/>
        </w:rPr>
        <w:t>复印件加盖供应商公章</w:t>
      </w:r>
      <w:r>
        <w:rPr>
          <w:rFonts w:hint="eastAsia" w:ascii="宋体" w:hAnsi="宋体" w:eastAsia="宋体" w:cs="宋体"/>
          <w:i/>
          <w:iCs/>
          <w:color w:val="auto"/>
          <w:szCs w:val="21"/>
          <w:highlight w:val="none"/>
          <w:u w:val="single"/>
        </w:rPr>
        <w:t>)</w:t>
      </w:r>
      <w:r>
        <w:rPr>
          <w:rFonts w:hint="eastAsia" w:ascii="宋体" w:hAnsi="宋体" w:eastAsia="宋体" w:cs="宋体"/>
          <w:i/>
          <w:iCs/>
          <w:color w:val="auto"/>
          <w:szCs w:val="21"/>
          <w:highlight w:val="none"/>
          <w:u w:val="single"/>
          <w:lang w:eastAsia="zh-CN"/>
        </w:rPr>
        <w:t>；</w:t>
      </w:r>
    </w:p>
    <w:p w14:paraId="11334C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1.7</w:t>
      </w:r>
      <w:r>
        <w:rPr>
          <w:rFonts w:hint="eastAsia" w:ascii="宋体" w:hAnsi="宋体" w:eastAsia="宋体" w:cs="宋体"/>
          <w:i/>
          <w:iCs/>
          <w:color w:val="auto"/>
          <w:szCs w:val="21"/>
          <w:highlight w:val="none"/>
          <w:u w:val="single"/>
          <w:lang w:eastAsia="zh-CN"/>
        </w:rPr>
        <w:t>上一年度(2023年或2024年)的财务状况报告(成立不满一年无需提供)</w:t>
      </w:r>
      <w:r>
        <w:rPr>
          <w:rFonts w:hint="eastAsia" w:ascii="宋体" w:hAnsi="宋体" w:eastAsia="宋体" w:cs="宋体"/>
          <w:i/>
          <w:iCs/>
          <w:color w:val="auto"/>
          <w:szCs w:val="21"/>
          <w:highlight w:val="none"/>
          <w:u w:val="single"/>
          <w:lang w:eastAsia="zh-CN"/>
        </w:rPr>
        <w:t>(复印件加盖供应商公章)；</w:t>
      </w:r>
    </w:p>
    <w:p w14:paraId="4B0839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1.8 供应商参加本次</w:t>
      </w:r>
      <w:r>
        <w:rPr>
          <w:rFonts w:hint="eastAsia" w:ascii="宋体" w:hAnsi="宋体" w:eastAsia="宋体" w:cs="宋体"/>
          <w:i/>
          <w:iCs/>
          <w:color w:val="auto"/>
          <w:szCs w:val="21"/>
          <w:highlight w:val="none"/>
          <w:u w:val="single"/>
          <w:lang w:eastAsia="zh-CN"/>
        </w:rPr>
        <w:t>采购</w:t>
      </w:r>
      <w:r>
        <w:rPr>
          <w:rFonts w:hint="eastAsia" w:ascii="宋体" w:hAnsi="宋体" w:eastAsia="宋体" w:cs="宋体"/>
          <w:i/>
          <w:iCs/>
          <w:color w:val="auto"/>
          <w:szCs w:val="21"/>
          <w:highlight w:val="none"/>
          <w:u w:val="single"/>
        </w:rPr>
        <w:t>活动前3年内在经营活动中没有重大违法记录的书面声明（原件）</w:t>
      </w:r>
      <w:r>
        <w:rPr>
          <w:rFonts w:hint="eastAsia" w:ascii="宋体" w:hAnsi="宋体" w:eastAsia="宋体" w:cs="宋体"/>
          <w:i/>
          <w:iCs/>
          <w:color w:val="auto"/>
          <w:szCs w:val="21"/>
          <w:highlight w:val="none"/>
          <w:u w:val="single"/>
          <w:lang w:eastAsia="zh-CN"/>
        </w:rPr>
        <w:t>；</w:t>
      </w:r>
    </w:p>
    <w:p w14:paraId="664AF0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1.9供应商信用承诺书（原件）</w:t>
      </w:r>
      <w:r>
        <w:rPr>
          <w:rFonts w:hint="eastAsia" w:ascii="宋体" w:hAnsi="宋体" w:eastAsia="宋体" w:cs="宋体"/>
          <w:i/>
          <w:iCs/>
          <w:color w:val="auto"/>
          <w:szCs w:val="21"/>
          <w:highlight w:val="none"/>
          <w:u w:val="single"/>
          <w:lang w:eastAsia="zh-CN"/>
        </w:rPr>
        <w:t>；</w:t>
      </w:r>
    </w:p>
    <w:p w14:paraId="4CD70C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1.10供应商未被“信用中国”网站（www.creditchina.gov.cn）、“中国政府采购网” (www.ccgp.gov.cn)列入失信被执行人、重大税收违法案件当事人名单、政府采购严重违法失信</w:t>
      </w:r>
      <w:r>
        <w:rPr>
          <w:rFonts w:hint="eastAsia" w:ascii="宋体" w:hAnsi="宋体" w:eastAsia="宋体" w:cs="宋体"/>
          <w:b w:val="0"/>
          <w:bCs w:val="0"/>
          <w:i/>
          <w:iCs/>
          <w:color w:val="auto"/>
          <w:szCs w:val="21"/>
          <w:highlight w:val="none"/>
          <w:u w:val="single"/>
        </w:rPr>
        <w:t>行为。</w:t>
      </w:r>
      <w:r>
        <w:rPr>
          <w:rFonts w:hint="eastAsia" w:ascii="宋体" w:hAnsi="宋体" w:eastAsia="宋体" w:cs="宋体"/>
          <w:b w:val="0"/>
          <w:bCs w:val="0"/>
          <w:i/>
          <w:iCs/>
          <w:color w:val="auto"/>
          <w:kern w:val="0"/>
          <w:szCs w:val="21"/>
          <w:highlight w:val="none"/>
          <w:u w:val="single"/>
          <w:lang w:val="en"/>
        </w:rPr>
        <w:t>（提供网页查询截图并加盖供应商公章，查询时间为自公告发布至开标截止时间前任意时间）</w:t>
      </w:r>
    </w:p>
    <w:p w14:paraId="7B739AA2">
      <w:pPr>
        <w:pStyle w:val="47"/>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284FBFD7">
      <w:pPr>
        <w:pStyle w:val="47"/>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注二：供应商如有相关政策支持，延期缴纳或暂不缴纳职工社会保障资金、税收的，须提供相关证明材料。</w:t>
      </w:r>
    </w:p>
    <w:p w14:paraId="45C355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color w:val="auto"/>
          <w:szCs w:val="21"/>
          <w:highlight w:val="none"/>
        </w:rPr>
        <w:t>2.落实</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政策需满足的资格要求：</w:t>
      </w:r>
      <w:r>
        <w:rPr>
          <w:rFonts w:hint="eastAsia" w:ascii="宋体" w:hAnsi="宋体" w:eastAsia="宋体" w:cs="宋体"/>
          <w:color w:val="auto"/>
          <w:szCs w:val="21"/>
          <w:highlight w:val="none"/>
          <w:lang w:val="en-US" w:eastAsia="zh-CN"/>
        </w:rPr>
        <w:t>/</w:t>
      </w:r>
    </w:p>
    <w:p w14:paraId="1B9886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eastAsia="zh-CN"/>
        </w:rPr>
        <w:t>：</w:t>
      </w:r>
      <w:r>
        <w:rPr>
          <w:rFonts w:hint="eastAsia" w:ascii="宋体" w:hAnsi="宋体" w:eastAsia="宋体" w:cs="宋体"/>
          <w:i/>
          <w:iCs/>
          <w:color w:val="auto"/>
          <w:szCs w:val="21"/>
          <w:highlight w:val="none"/>
          <w:u w:val="single"/>
        </w:rPr>
        <w:t>供应</w:t>
      </w:r>
      <w:r>
        <w:rPr>
          <w:rFonts w:hint="eastAsia" w:ascii="宋体" w:hAnsi="宋体" w:eastAsia="宋体" w:cs="宋体"/>
          <w:b w:val="0"/>
          <w:bCs w:val="0"/>
          <w:i/>
          <w:iCs/>
          <w:color w:val="auto"/>
          <w:szCs w:val="21"/>
          <w:highlight w:val="none"/>
          <w:u w:val="single"/>
        </w:rPr>
        <w:t>商为本项目授权委托人缴纳的近三个月内任意一个月（</w:t>
      </w:r>
      <w:r>
        <w:rPr>
          <w:rFonts w:hint="eastAsia" w:ascii="宋体" w:hAnsi="宋体" w:eastAsia="宋体" w:cs="宋体"/>
          <w:b w:val="0"/>
          <w:bCs w:val="0"/>
          <w:i/>
          <w:iCs/>
          <w:color w:val="auto"/>
          <w:sz w:val="21"/>
          <w:szCs w:val="21"/>
          <w:highlight w:val="none"/>
          <w:u w:val="single"/>
          <w:lang w:eastAsia="zh-CN"/>
        </w:rPr>
        <w:t>2025年3月-2025年5月</w:t>
      </w:r>
      <w:r>
        <w:rPr>
          <w:rFonts w:hint="eastAsia" w:ascii="宋体" w:hAnsi="宋体" w:eastAsia="宋体" w:cs="宋体"/>
          <w:b w:val="0"/>
          <w:bCs w:val="0"/>
          <w:i/>
          <w:iCs/>
          <w:color w:val="auto"/>
          <w:szCs w:val="21"/>
          <w:highlight w:val="none"/>
          <w:u w:val="single"/>
        </w:rPr>
        <w:t>）的社保证明(复印件加盖供应商公章)</w:t>
      </w:r>
    </w:p>
    <w:p w14:paraId="21F3C98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bookmarkStart w:id="15" w:name="_Toc35393623"/>
      <w:bookmarkStart w:id="16" w:name="_Toc35393792"/>
      <w:r>
        <w:rPr>
          <w:rFonts w:hint="eastAsia" w:ascii="宋体" w:hAnsi="宋体" w:eastAsia="宋体" w:cs="宋体"/>
          <w:b/>
          <w:bCs/>
          <w:color w:val="auto"/>
          <w:szCs w:val="21"/>
          <w:highlight w:val="none"/>
        </w:rPr>
        <w:t>三、获取招标文件</w:t>
      </w:r>
      <w:bookmarkEnd w:id="13"/>
      <w:bookmarkEnd w:id="14"/>
      <w:bookmarkEnd w:id="15"/>
      <w:bookmarkEnd w:id="16"/>
    </w:p>
    <w:p w14:paraId="08CA03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auto"/>
          <w:szCs w:val="21"/>
          <w:highlight w:val="none"/>
        </w:rPr>
        <w:t>时间：2025年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日至2025年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日（北京时间，法定节假日除外）</w:t>
      </w:r>
    </w:p>
    <w:p w14:paraId="1E0ABE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地点：“扬州市公共资源交易平台邗江分中心国企采购栏目”、“扬州维扬发展投资有限公司”</w:t>
      </w:r>
      <w:r>
        <w:rPr>
          <w:rFonts w:hint="eastAsia" w:ascii="宋体" w:hAnsi="宋体" w:eastAsia="宋体" w:cs="宋体"/>
          <w:color w:val="auto"/>
          <w:highlight w:val="none"/>
        </w:rPr>
        <w:t>网站</w:t>
      </w:r>
    </w:p>
    <w:p w14:paraId="298B00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方式：投标供应商如确定参加投标</w:t>
      </w:r>
      <w:r>
        <w:rPr>
          <w:rFonts w:hint="eastAsia" w:ascii="宋体" w:hAnsi="宋体" w:eastAsia="宋体" w:cs="宋体"/>
          <w:color w:val="auto"/>
          <w:szCs w:val="21"/>
          <w:highlight w:val="none"/>
        </w:rPr>
        <w:t>，请在2025年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日17:30</w:t>
      </w:r>
      <w:r>
        <w:rPr>
          <w:rFonts w:hint="eastAsia" w:ascii="宋体" w:hAnsi="宋体" w:eastAsia="宋体" w:cs="宋体"/>
          <w:color w:val="auto"/>
          <w:szCs w:val="21"/>
          <w:highlight w:val="none"/>
        </w:rPr>
        <w:t>前如实填写《供应商参加投标确认函》，并</w:t>
      </w:r>
      <w:r>
        <w:rPr>
          <w:rFonts w:hint="eastAsia" w:ascii="宋体" w:hAnsi="宋体" w:eastAsia="宋体" w:cs="宋体"/>
          <w:color w:val="auto"/>
          <w:kern w:val="0"/>
          <w:szCs w:val="21"/>
          <w:highlight w:val="none"/>
        </w:rPr>
        <w:t>将加盖</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公章的《供应商参加投标确认函》的图片或扫描件发送至采购代理机构经办人</w:t>
      </w:r>
      <w:r>
        <w:rPr>
          <w:rFonts w:hint="eastAsia" w:ascii="宋体" w:hAnsi="宋体" w:eastAsia="宋体" w:cs="宋体"/>
          <w:color w:val="auto"/>
          <w:szCs w:val="21"/>
          <w:highlight w:val="none"/>
        </w:rPr>
        <w:t>电子邮箱（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"mailto:1274847791@qq.com"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kern w:val="0"/>
          <w:highlight w:val="none"/>
        </w:rPr>
        <w:t>2535112693@qq.com</w:t>
      </w:r>
      <w:r>
        <w:rPr>
          <w:rStyle w:val="42"/>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联系电话：18652792880）。</w:t>
      </w:r>
      <w:r>
        <w:rPr>
          <w:rFonts w:hint="eastAsia" w:ascii="宋体" w:hAnsi="宋体" w:eastAsia="宋体" w:cs="宋体"/>
          <w:color w:val="auto"/>
          <w:sz w:val="21"/>
          <w:szCs w:val="21"/>
          <w:highlight w:val="none"/>
        </w:rPr>
        <w:t>同时需与采购代理机构经办人确认是否收到《</w:t>
      </w:r>
      <w:r>
        <w:rPr>
          <w:rFonts w:hint="eastAsia" w:ascii="宋体" w:hAnsi="宋体" w:eastAsia="宋体" w:cs="宋体"/>
          <w:color w:val="auto"/>
          <w:sz w:val="21"/>
          <w:szCs w:val="21"/>
          <w:highlight w:val="none"/>
          <w:lang w:eastAsia="zh-CN"/>
        </w:rPr>
        <w:t>供应商参加投标确认函</w:t>
      </w: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w:t>
      </w:r>
      <w:r>
        <w:rPr>
          <w:rFonts w:hint="eastAsia" w:ascii="宋体" w:hAnsi="宋体" w:eastAsia="宋体" w:cs="宋体"/>
          <w:color w:val="auto"/>
          <w:szCs w:val="21"/>
          <w:highlight w:val="none"/>
        </w:rPr>
        <w:t>如供应商未按上述要求去做，将自行承担所产生的风险。未报名（提交确认函）者、超过时限者不得前来投标，内容不全者后果自负。</w:t>
      </w:r>
    </w:p>
    <w:p w14:paraId="24960D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67DC82A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四、提交投标文件</w:t>
      </w:r>
      <w:bookmarkEnd w:id="17"/>
      <w:bookmarkEnd w:id="18"/>
      <w:r>
        <w:rPr>
          <w:rFonts w:hint="eastAsia" w:ascii="宋体" w:hAnsi="宋体" w:eastAsia="宋体" w:cs="宋体"/>
          <w:b/>
          <w:bCs/>
          <w:color w:val="auto"/>
          <w:szCs w:val="21"/>
          <w:highlight w:val="none"/>
        </w:rPr>
        <w:t>截止时间、开标时间和地点</w:t>
      </w:r>
      <w:bookmarkEnd w:id="19"/>
      <w:bookmarkEnd w:id="20"/>
    </w:p>
    <w:p w14:paraId="48F183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截止时间：2025年6月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日15点00分（北京时间）</w:t>
      </w:r>
    </w:p>
    <w:p w14:paraId="03372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开标时间：2025年6月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日15点00分（北京时间）</w:t>
      </w:r>
    </w:p>
    <w:p w14:paraId="52AF6D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bookmarkStart w:id="21" w:name="_Toc35393794"/>
      <w:bookmarkStart w:id="22" w:name="_Toc28359007"/>
      <w:bookmarkStart w:id="23" w:name="_Toc28359084"/>
      <w:bookmarkStart w:id="24" w:name="_Toc35393625"/>
      <w:r>
        <w:rPr>
          <w:rFonts w:hint="eastAsia" w:ascii="宋体" w:hAnsi="宋体" w:eastAsia="宋体" w:cs="宋体"/>
          <w:color w:val="auto"/>
          <w:szCs w:val="21"/>
          <w:highlight w:val="none"/>
        </w:rPr>
        <w:t>江苏时代投资咨询有限公司二楼开标室（扬州市汶河北路65号2楼）</w:t>
      </w:r>
    </w:p>
    <w:bookmarkEnd w:id="21"/>
    <w:bookmarkEnd w:id="22"/>
    <w:bookmarkEnd w:id="23"/>
    <w:bookmarkEnd w:id="24"/>
    <w:p w14:paraId="38544DE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bookmarkStart w:id="25" w:name="_Toc28359085"/>
      <w:bookmarkStart w:id="26" w:name="_Toc35393796"/>
      <w:bookmarkStart w:id="27" w:name="_Toc28359008"/>
      <w:bookmarkStart w:id="28" w:name="_Toc35393627"/>
      <w:r>
        <w:rPr>
          <w:rFonts w:hint="eastAsia" w:ascii="宋体" w:hAnsi="宋体" w:eastAsia="宋体" w:cs="宋体"/>
          <w:b/>
          <w:bCs/>
          <w:color w:val="auto"/>
          <w:szCs w:val="21"/>
          <w:highlight w:val="none"/>
        </w:rPr>
        <w:t>五、公告期限</w:t>
      </w:r>
    </w:p>
    <w:p w14:paraId="224C6A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16F349A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其他补充事宜：</w:t>
      </w:r>
    </w:p>
    <w:p w14:paraId="7FEC85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1、拒绝下述供应商参加本次采购活动：</w:t>
      </w:r>
    </w:p>
    <w:p w14:paraId="6691D5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（1）供应商单位负责人为同一人或者存在直接控股、管理关系的不同供应商，不得参加同一合同项下的</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活动。</w:t>
      </w:r>
    </w:p>
    <w:p w14:paraId="2F9968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（2）凡为采购项目提供整体设计、规范编制或者项目管理、监理、检测、代理等服务的供应商，不得再参加该项目的其他采购活动。</w:t>
      </w:r>
    </w:p>
    <w:p w14:paraId="3E5EF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（3）供应商被“信用中国”网站（www.creditchina.gov.cn）、“中国政府采购网"(www.ccgp.gov.cn)列入失信被执行人、重大税收违法案件当事人名单、政府采购严重违法失信行为记录名单。</w:t>
      </w:r>
    </w:p>
    <w:p w14:paraId="576F9B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2、有关本次招标的事项若存在变动或修改，敬请及时关注“扬州市公共资源交易平台邗江分中心国企采购栏目”、“扬州维扬发展投资有限公司”网站的信息或更正公告。</w:t>
      </w:r>
    </w:p>
    <w:p w14:paraId="7116BD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3、投标文件一式伍份(一份正本，肆份副本)，每份投标文件须清楚地标明“正本”或“副本”字样，一旦副本与正本不符，以正本为准。</w:t>
      </w:r>
      <w:r>
        <w:rPr>
          <w:rFonts w:hint="eastAsia" w:ascii="宋体" w:hAnsi="宋体" w:eastAsia="宋体" w:cs="宋体"/>
          <w:bCs/>
          <w:color w:val="auto"/>
          <w:szCs w:val="21"/>
          <w:highlight w:val="none"/>
        </w:rPr>
        <w:t>电子版投标文件壹份(一般应为pdf格式，U盘形式（单独密封）、随纸质正本文件一并提交)。当电子版文件和纸质正本文件不一致时，以纸质正本文件为准。电子版文件用于辅助评标和存档，</w:t>
      </w:r>
      <w:r>
        <w:rPr>
          <w:rFonts w:hint="eastAsia" w:ascii="宋体" w:hAnsi="宋体" w:cs="宋体"/>
          <w:bCs/>
          <w:color w:val="auto"/>
          <w:szCs w:val="21"/>
          <w:highlight w:val="none"/>
          <w:lang w:val="en-US" w:eastAsia="zh-CN"/>
        </w:rPr>
        <w:t>供应商</w:t>
      </w:r>
      <w:r>
        <w:rPr>
          <w:rFonts w:hint="eastAsia" w:ascii="宋体" w:hAnsi="宋体" w:eastAsia="宋体" w:cs="宋体"/>
          <w:bCs/>
          <w:color w:val="auto"/>
          <w:szCs w:val="21"/>
          <w:highlight w:val="none"/>
        </w:rPr>
        <w:t>需承担前述不一致造成的不利后果。</w:t>
      </w:r>
    </w:p>
    <w:p w14:paraId="0C8D81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4、本次招标不收取投标保证金。</w:t>
      </w:r>
    </w:p>
    <w:p w14:paraId="398363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5、潜在供应商对采购文件项目需求部分的询问、质疑请向采购人提出，由采购人负责答复。</w:t>
      </w:r>
    </w:p>
    <w:p w14:paraId="484D4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i/>
          <w:iCs/>
          <w:color w:val="auto"/>
          <w:szCs w:val="21"/>
          <w:highlight w:val="none"/>
          <w:u w:val="single"/>
        </w:rPr>
        <w:t>本项目采购文件中所有斜体下划线部分为实质性条款，如不满足，则为无效投标。</w:t>
      </w:r>
    </w:p>
    <w:p w14:paraId="0C92AC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七、对本次招标提出询问，请按以下方式联系。</w:t>
      </w:r>
    </w:p>
    <w:bookmarkEnd w:id="25"/>
    <w:bookmarkEnd w:id="26"/>
    <w:bookmarkEnd w:id="27"/>
    <w:bookmarkEnd w:id="28"/>
    <w:p w14:paraId="2C371A9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552A111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称：扬州锦毓置业有限公司</w:t>
      </w:r>
    </w:p>
    <w:bookmarkEnd w:id="2"/>
    <w:p w14:paraId="3A7E22DA">
      <w:pPr>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color w:val="auto"/>
          <w:szCs w:val="21"/>
          <w:highlight w:val="none"/>
          <w:lang w:val="en-US" w:eastAsia="zh-CN"/>
        </w:rPr>
      </w:pPr>
      <w:bookmarkStart w:id="29" w:name="_Toc35393807"/>
      <w:bookmarkStart w:id="30" w:name="_Toc35393638"/>
      <w:bookmarkStart w:id="31" w:name="_Toc28359020"/>
      <w:bookmarkStart w:id="32" w:name="_Toc28359097"/>
      <w:bookmarkStart w:id="33" w:name="_Toc497133091"/>
      <w:r>
        <w:rPr>
          <w:rFonts w:hint="eastAsia" w:ascii="宋体" w:hAnsi="宋体" w:eastAsia="宋体" w:cs="宋体"/>
          <w:color w:val="auto"/>
          <w:szCs w:val="21"/>
          <w:highlight w:val="none"/>
        </w:rPr>
        <w:t>联系人：</w:t>
      </w:r>
      <w:r>
        <w:rPr>
          <w:rFonts w:hint="eastAsia" w:ascii="宋体" w:hAnsi="宋体" w:eastAsia="宋体" w:cs="宋体"/>
          <w:bCs/>
          <w:color w:val="auto"/>
          <w:kern w:val="0"/>
          <w:szCs w:val="21"/>
          <w:highlight w:val="none"/>
        </w:rPr>
        <w:t>王女士</w:t>
      </w:r>
    </w:p>
    <w:p w14:paraId="38B40217">
      <w:pPr>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bCs/>
          <w:color w:val="auto"/>
          <w:kern w:val="0"/>
          <w:szCs w:val="21"/>
          <w:highlight w:val="none"/>
        </w:rPr>
        <w:t>0514-82120352</w:t>
      </w:r>
    </w:p>
    <w:p w14:paraId="1C51D88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29"/>
      <w:bookmarkEnd w:id="30"/>
      <w:bookmarkEnd w:id="31"/>
      <w:bookmarkEnd w:id="32"/>
    </w:p>
    <w:bookmarkEnd w:id="33"/>
    <w:p w14:paraId="435FFC5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称：江苏时代投资咨询有限公司</w:t>
      </w:r>
    </w:p>
    <w:p w14:paraId="433D398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址：扬州市汶河北路65号2楼</w:t>
      </w:r>
    </w:p>
    <w:p w14:paraId="0D9899C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联系方式：杨小新     联系电话：18652798268</w:t>
      </w:r>
    </w:p>
    <w:p w14:paraId="06A91EF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04365AC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项目联系人：林露</w:t>
      </w:r>
    </w:p>
    <w:p w14:paraId="619DF4A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话：18652792880</w:t>
      </w:r>
    </w:p>
    <w:p w14:paraId="361BF72F">
      <w:pPr>
        <w:spacing w:line="440" w:lineRule="exact"/>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江苏时代投资咨询有限公司</w:t>
      </w:r>
    </w:p>
    <w:p w14:paraId="0E08DDB9">
      <w:pPr>
        <w:pStyle w:val="47"/>
        <w:spacing w:before="0" w:after="0" w:line="440" w:lineRule="exact"/>
        <w:ind w:firstLine="42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2025年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w:t>
      </w:r>
    </w:p>
    <w:p w14:paraId="728B857E">
      <w:pPr>
        <w:rPr>
          <w:rFonts w:hint="eastAsia" w:ascii="宋体" w:hAnsi="宋体" w:eastAsia="宋体" w:cs="宋体"/>
          <w:color w:val="auto"/>
          <w:sz w:val="36"/>
          <w:highlight w:val="none"/>
        </w:rPr>
      </w:pPr>
      <w:bookmarkStart w:id="34" w:name="_Toc5818"/>
      <w:r>
        <w:rPr>
          <w:rFonts w:hint="eastAsia" w:ascii="宋体" w:hAnsi="宋体" w:eastAsia="宋体" w:cs="宋体"/>
          <w:color w:val="auto"/>
          <w:sz w:val="36"/>
          <w:highlight w:val="none"/>
        </w:rPr>
        <w:br w:type="page"/>
      </w:r>
    </w:p>
    <w:p w14:paraId="2C3C1782">
      <w:pPr>
        <w:pStyle w:val="2"/>
        <w:spacing w:line="360" w:lineRule="auto"/>
        <w:jc w:val="center"/>
        <w:rPr>
          <w:rFonts w:hint="eastAsia" w:ascii="宋体" w:hAnsi="宋体" w:eastAsia="宋体" w:cs="宋体"/>
          <w:color w:val="auto"/>
          <w:highlight w:val="none"/>
        </w:rPr>
      </w:pPr>
      <w:bookmarkStart w:id="35" w:name="_Toc24393"/>
      <w:r>
        <w:rPr>
          <w:rFonts w:hint="eastAsia" w:ascii="宋体" w:hAnsi="宋体" w:eastAsia="宋体" w:cs="宋体"/>
          <w:color w:val="auto"/>
          <w:sz w:val="36"/>
          <w:highlight w:val="none"/>
        </w:rPr>
        <w:t>第二章 投标人须知</w:t>
      </w:r>
      <w:bookmarkEnd w:id="34"/>
      <w:bookmarkEnd w:id="35"/>
    </w:p>
    <w:p w14:paraId="7DB38650">
      <w:pPr>
        <w:spacing w:line="360" w:lineRule="auto"/>
        <w:ind w:firstLine="422" w:firstLineChars="200"/>
        <w:rPr>
          <w:rFonts w:hint="eastAsia" w:ascii="宋体" w:hAnsi="宋体" w:eastAsia="宋体" w:cs="宋体"/>
          <w:b/>
          <w:color w:val="auto"/>
          <w:szCs w:val="21"/>
          <w:highlight w:val="none"/>
        </w:rPr>
      </w:pPr>
      <w:bookmarkStart w:id="36" w:name="_Toc16938520"/>
      <w:bookmarkStart w:id="37" w:name="_Toc513029204"/>
      <w:bookmarkStart w:id="38" w:name="_Toc20823276"/>
      <w:r>
        <w:rPr>
          <w:rFonts w:hint="eastAsia" w:ascii="宋体" w:hAnsi="宋体" w:eastAsia="宋体" w:cs="宋体"/>
          <w:b/>
          <w:color w:val="auto"/>
          <w:szCs w:val="21"/>
          <w:highlight w:val="none"/>
        </w:rPr>
        <w:t>1、招标方式</w:t>
      </w:r>
      <w:bookmarkEnd w:id="36"/>
      <w:bookmarkEnd w:id="37"/>
      <w:bookmarkEnd w:id="38"/>
    </w:p>
    <w:p w14:paraId="13B1EC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w:t>
      </w:r>
      <w:r>
        <w:rPr>
          <w:rStyle w:val="79"/>
          <w:rFonts w:hint="eastAsia" w:ascii="宋体" w:hAnsi="宋体" w:eastAsia="宋体" w:cs="宋体"/>
          <w:color w:val="auto"/>
          <w:highlight w:val="none"/>
        </w:rPr>
        <w:t>本次招标采取公开招标方式，本招标文件仅适用于</w:t>
      </w:r>
      <w:r>
        <w:rPr>
          <w:rFonts w:hint="eastAsia" w:ascii="宋体" w:hAnsi="宋体" w:eastAsia="宋体" w:cs="宋体"/>
          <w:color w:val="auto"/>
          <w:szCs w:val="21"/>
          <w:highlight w:val="none"/>
          <w:lang w:eastAsia="zh-CN"/>
        </w:rPr>
        <w:t>JSSDZX-2025125号</w:t>
      </w:r>
      <w:r>
        <w:rPr>
          <w:rFonts w:hint="eastAsia" w:ascii="宋体" w:hAnsi="宋体" w:eastAsia="宋体" w:cs="宋体"/>
          <w:color w:val="auto"/>
          <w:szCs w:val="21"/>
          <w:highlight w:val="none"/>
        </w:rPr>
        <w:t>项目。</w:t>
      </w:r>
    </w:p>
    <w:p w14:paraId="4BDF570D">
      <w:pPr>
        <w:spacing w:line="360" w:lineRule="auto"/>
        <w:ind w:firstLine="422" w:firstLineChars="200"/>
        <w:rPr>
          <w:rFonts w:hint="eastAsia" w:ascii="宋体" w:hAnsi="宋体" w:eastAsia="宋体" w:cs="宋体"/>
          <w:b/>
          <w:color w:val="auto"/>
          <w:szCs w:val="21"/>
          <w:highlight w:val="none"/>
        </w:rPr>
      </w:pPr>
      <w:bookmarkStart w:id="39" w:name="_Toc20823277"/>
      <w:bookmarkStart w:id="40" w:name="_Toc513029205"/>
      <w:bookmarkStart w:id="41" w:name="_Toc16938521"/>
      <w:r>
        <w:rPr>
          <w:rFonts w:hint="eastAsia" w:ascii="宋体" w:hAnsi="宋体" w:eastAsia="宋体" w:cs="宋体"/>
          <w:b/>
          <w:color w:val="auto"/>
          <w:szCs w:val="21"/>
          <w:highlight w:val="none"/>
        </w:rPr>
        <w:t>2、投标人</w:t>
      </w:r>
    </w:p>
    <w:p w14:paraId="32B47D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本招标文件中“供应商”，即“投标人”，是指参加投标竞争，并符合招标文件规定资格条件的法人、其他组织或者自然人。</w:t>
      </w:r>
    </w:p>
    <w:p w14:paraId="335F284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2.2合格的投标人</w:t>
      </w:r>
      <w:bookmarkEnd w:id="39"/>
      <w:bookmarkEnd w:id="40"/>
      <w:bookmarkEnd w:id="41"/>
    </w:p>
    <w:p w14:paraId="32D367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满足投标邀请中供应商的资格条件要求的规定。</w:t>
      </w:r>
    </w:p>
    <w:p w14:paraId="34F63F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满足本文件实质性条款的规定。</w:t>
      </w:r>
    </w:p>
    <w:p w14:paraId="50F10733">
      <w:pPr>
        <w:spacing w:line="360" w:lineRule="auto"/>
        <w:ind w:firstLine="422" w:firstLineChars="200"/>
        <w:rPr>
          <w:rFonts w:hint="eastAsia" w:ascii="宋体" w:hAnsi="宋体" w:eastAsia="宋体" w:cs="宋体"/>
          <w:b/>
          <w:color w:val="auto"/>
          <w:szCs w:val="21"/>
          <w:highlight w:val="none"/>
        </w:rPr>
      </w:pPr>
      <w:bookmarkStart w:id="42" w:name="_Toc16938522"/>
      <w:bookmarkStart w:id="43" w:name="_Toc20823278"/>
      <w:bookmarkStart w:id="44" w:name="_Toc513029206"/>
      <w:r>
        <w:rPr>
          <w:rFonts w:hint="eastAsia" w:ascii="宋体" w:hAnsi="宋体" w:eastAsia="宋体" w:cs="宋体"/>
          <w:b/>
          <w:color w:val="auto"/>
          <w:szCs w:val="21"/>
          <w:highlight w:val="none"/>
        </w:rPr>
        <w:t>3、适用法律</w:t>
      </w:r>
      <w:bookmarkEnd w:id="42"/>
      <w:bookmarkEnd w:id="43"/>
      <w:bookmarkEnd w:id="44"/>
    </w:p>
    <w:p w14:paraId="048BE8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 本次招标及由此产生的合同受中华人民共和国有关的法律法规制约和保护。</w:t>
      </w:r>
    </w:p>
    <w:p w14:paraId="11083D6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4、投标费用</w:t>
      </w:r>
    </w:p>
    <w:p w14:paraId="6878C5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4.1</w:t>
      </w:r>
      <w:r>
        <w:rPr>
          <w:rFonts w:hint="eastAsia" w:ascii="宋体" w:hAnsi="宋体" w:eastAsia="宋体" w:cs="宋体"/>
          <w:color w:val="auto"/>
          <w:szCs w:val="21"/>
          <w:highlight w:val="none"/>
        </w:rPr>
        <w:t xml:space="preserve"> 投标人应自行承担所有与参加投标有关的费用，无论投标过程中的做法和结果如何，代理机构在任何情况下均无义务和责任承担这些费用。</w:t>
      </w:r>
    </w:p>
    <w:p w14:paraId="3FD6885E">
      <w:pPr>
        <w:tabs>
          <w:tab w:val="left" w:pos="900"/>
        </w:tabs>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4.2本次采购由中标人在领取中标通知书前一次性支付给招标代理机构专家评审费（专家评审费暂按 500 元/人次计取，按实结算（不提供发票）。专家评审费以现金形式支付，专家评审费不在报价中单列，由中标人支付给代理机构。</w:t>
      </w:r>
    </w:p>
    <w:p w14:paraId="0614B44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5、招标文件的约束力</w:t>
      </w:r>
    </w:p>
    <w:p w14:paraId="11D21F8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w:t>
      </w:r>
      <w:r>
        <w:rPr>
          <w:rFonts w:hint="eastAsia" w:ascii="宋体" w:hAnsi="宋体" w:eastAsia="宋体" w:cs="宋体"/>
          <w:color w:val="auto"/>
          <w:szCs w:val="21"/>
          <w:highlight w:val="none"/>
        </w:rPr>
        <w:t xml:space="preserve"> 投标人一旦参加本项目采购活动，即被认为接受了本招标文件的规定和约束。</w:t>
      </w:r>
    </w:p>
    <w:p w14:paraId="1BFD9565">
      <w:pPr>
        <w:spacing w:line="360" w:lineRule="auto"/>
        <w:ind w:firstLine="422" w:firstLineChars="200"/>
        <w:rPr>
          <w:rFonts w:hint="eastAsia" w:ascii="宋体" w:hAnsi="宋体" w:eastAsia="宋体" w:cs="宋体"/>
          <w:b/>
          <w:color w:val="auto"/>
          <w:szCs w:val="21"/>
          <w:highlight w:val="none"/>
        </w:rPr>
      </w:pPr>
      <w:bookmarkStart w:id="45" w:name="_Toc16938526"/>
      <w:bookmarkStart w:id="46" w:name="_Toc20823282"/>
      <w:bookmarkStart w:id="47" w:name="_Toc513029210"/>
      <w:r>
        <w:rPr>
          <w:rFonts w:hint="eastAsia" w:ascii="宋体" w:hAnsi="宋体" w:eastAsia="宋体" w:cs="宋体"/>
          <w:b/>
          <w:color w:val="auto"/>
          <w:szCs w:val="21"/>
          <w:highlight w:val="none"/>
        </w:rPr>
        <w:t>6、招标文件构成</w:t>
      </w:r>
      <w:bookmarkEnd w:id="45"/>
      <w:bookmarkEnd w:id="46"/>
      <w:bookmarkEnd w:id="47"/>
    </w:p>
    <w:p w14:paraId="4D6634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6.1</w:t>
      </w:r>
      <w:r>
        <w:rPr>
          <w:rFonts w:hint="eastAsia" w:ascii="宋体" w:hAnsi="宋体" w:eastAsia="宋体" w:cs="宋体"/>
          <w:color w:val="auto"/>
          <w:szCs w:val="21"/>
          <w:highlight w:val="none"/>
        </w:rPr>
        <w:t xml:space="preserve"> 招标文件有以下部分组成：</w:t>
      </w:r>
    </w:p>
    <w:p w14:paraId="7772F4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28A60B48">
      <w:pPr>
        <w:tabs>
          <w:tab w:val="left" w:pos="25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4D9AFD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（3）合同条款及格式</w:t>
      </w:r>
    </w:p>
    <w:p w14:paraId="0E015E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（4）项目需求</w:t>
      </w:r>
    </w:p>
    <w:p w14:paraId="54EF72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（5）评标方法与评标标准</w:t>
      </w:r>
    </w:p>
    <w:p w14:paraId="34033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325B34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请仔细检查招标文件是否齐全，如有缺漏请立即与代理机构联系解决。</w:t>
      </w:r>
    </w:p>
    <w:p w14:paraId="5A796CD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14:paraId="3ADC81B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6.3 招标文件如果要求供应商提交备选投标方案的，供应商可以提交备选方案；否则，备选方案将被拒绝。</w:t>
      </w:r>
    </w:p>
    <w:p w14:paraId="3B8D04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6.4</w:t>
      </w:r>
      <w:r>
        <w:rPr>
          <w:rFonts w:hint="eastAsia" w:ascii="宋体" w:hAnsi="宋体" w:eastAsia="宋体"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8D56485">
      <w:pPr>
        <w:spacing w:line="360" w:lineRule="auto"/>
        <w:ind w:firstLine="422" w:firstLineChars="200"/>
        <w:rPr>
          <w:rFonts w:hint="eastAsia" w:ascii="宋体" w:hAnsi="宋体" w:eastAsia="宋体" w:cs="宋体"/>
          <w:b/>
          <w:color w:val="auto"/>
          <w:szCs w:val="21"/>
          <w:highlight w:val="none"/>
        </w:rPr>
      </w:pPr>
      <w:bookmarkStart w:id="48" w:name="_Toc20823283"/>
      <w:bookmarkStart w:id="49" w:name="_Toc462564070"/>
      <w:bookmarkStart w:id="50" w:name="_Toc16938527"/>
      <w:bookmarkStart w:id="51" w:name="_Toc513029211"/>
      <w:r>
        <w:rPr>
          <w:rFonts w:hint="eastAsia" w:ascii="宋体" w:hAnsi="宋体" w:eastAsia="宋体" w:cs="宋体"/>
          <w:b/>
          <w:color w:val="auto"/>
          <w:szCs w:val="21"/>
          <w:highlight w:val="none"/>
        </w:rPr>
        <w:t>7、招标文件的</w:t>
      </w:r>
      <w:bookmarkEnd w:id="48"/>
      <w:bookmarkEnd w:id="49"/>
      <w:bookmarkEnd w:id="50"/>
      <w:bookmarkEnd w:id="51"/>
      <w:r>
        <w:rPr>
          <w:rFonts w:hint="eastAsia" w:ascii="宋体" w:hAnsi="宋体" w:eastAsia="宋体" w:cs="宋体"/>
          <w:b/>
          <w:color w:val="auto"/>
          <w:szCs w:val="21"/>
          <w:highlight w:val="none"/>
        </w:rPr>
        <w:t>澄清</w:t>
      </w:r>
    </w:p>
    <w:p w14:paraId="3226AE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任何要求对招标文件进行澄清的投标人，应在投标截止日期的</w:t>
      </w:r>
      <w:r>
        <w:rPr>
          <w:rFonts w:hint="eastAsia" w:ascii="宋体" w:hAnsi="宋体" w:cs="宋体"/>
          <w:color w:val="auto"/>
          <w:szCs w:val="21"/>
          <w:highlight w:val="none"/>
          <w:lang w:val="en-US" w:eastAsia="zh-CN"/>
        </w:rPr>
        <w:t>十</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t>前按投标邀请中的通讯地址，以书面形式通知代理机构。</w:t>
      </w:r>
    </w:p>
    <w:p w14:paraId="4F458BA8">
      <w:pPr>
        <w:spacing w:line="360" w:lineRule="auto"/>
        <w:ind w:firstLine="422" w:firstLineChars="200"/>
        <w:rPr>
          <w:rFonts w:hint="eastAsia" w:ascii="宋体" w:hAnsi="宋体" w:eastAsia="宋体" w:cs="宋体"/>
          <w:b/>
          <w:color w:val="auto"/>
          <w:szCs w:val="21"/>
          <w:highlight w:val="none"/>
        </w:rPr>
      </w:pPr>
      <w:bookmarkStart w:id="52" w:name="_Toc20823284"/>
      <w:bookmarkStart w:id="53" w:name="_Toc513029212"/>
      <w:bookmarkStart w:id="54" w:name="_Toc16938528"/>
      <w:bookmarkStart w:id="55" w:name="_Toc462564071"/>
      <w:r>
        <w:rPr>
          <w:rFonts w:hint="eastAsia" w:ascii="宋体" w:hAnsi="宋体" w:eastAsia="宋体" w:cs="宋体"/>
          <w:b/>
          <w:color w:val="auto"/>
          <w:szCs w:val="21"/>
          <w:highlight w:val="none"/>
        </w:rPr>
        <w:t>8、招标文件的修改</w:t>
      </w:r>
      <w:bookmarkEnd w:id="52"/>
      <w:bookmarkEnd w:id="53"/>
      <w:bookmarkEnd w:id="54"/>
      <w:bookmarkEnd w:id="55"/>
    </w:p>
    <w:p w14:paraId="4EDB6A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8.1</w:t>
      </w:r>
      <w:r>
        <w:rPr>
          <w:rFonts w:hint="eastAsia" w:ascii="宋体" w:hAnsi="宋体" w:eastAsia="宋体" w:cs="宋体"/>
          <w:color w:val="auto"/>
          <w:szCs w:val="21"/>
          <w:highlight w:val="none"/>
        </w:rPr>
        <w:t xml:space="preserve"> 在投标截止时间前，代理机构可以对招标文件进行修改。</w:t>
      </w:r>
    </w:p>
    <w:p w14:paraId="57C5878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8.2代理机构在招标文件要求提交投标文件截止时间前，有权决定延长投标截止时间和开标时间，并在原采购信息发布媒体上发布变更公告。</w:t>
      </w:r>
    </w:p>
    <w:p w14:paraId="3C0F8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8.3</w:t>
      </w:r>
      <w:r>
        <w:rPr>
          <w:rFonts w:hint="eastAsia" w:ascii="宋体" w:hAnsi="宋体" w:eastAsia="宋体" w:cs="宋体"/>
          <w:color w:val="auto"/>
          <w:szCs w:val="21"/>
          <w:highlight w:val="none"/>
        </w:rPr>
        <w:t>招标文件的修改将在“扬州市公共资源交易平台邗江分中心国企采购栏目”、“扬州维扬发展投资有限公司”网站公布，补充文件将作为招标文件的组成部分，并对投标人具有约束力。</w:t>
      </w:r>
    </w:p>
    <w:p w14:paraId="7E516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8.4投标人应在投标截止时间前关注原采购信息发布媒体上有关本招标项目有无变更公告。</w:t>
      </w:r>
    </w:p>
    <w:p w14:paraId="3997C15A">
      <w:pPr>
        <w:spacing w:line="360" w:lineRule="auto"/>
        <w:ind w:firstLine="422" w:firstLineChars="200"/>
        <w:rPr>
          <w:rFonts w:hint="eastAsia" w:ascii="宋体" w:hAnsi="宋体" w:eastAsia="宋体" w:cs="宋体"/>
          <w:b/>
          <w:color w:val="auto"/>
          <w:szCs w:val="21"/>
          <w:highlight w:val="none"/>
        </w:rPr>
      </w:pPr>
      <w:bookmarkStart w:id="56" w:name="_Toc16938530"/>
      <w:bookmarkStart w:id="57" w:name="_Toc20823286"/>
      <w:bookmarkStart w:id="58" w:name="_Toc462564073"/>
      <w:bookmarkStart w:id="59" w:name="_Toc513029214"/>
      <w:r>
        <w:rPr>
          <w:rFonts w:hint="eastAsia" w:ascii="宋体" w:hAnsi="宋体" w:eastAsia="宋体" w:cs="宋体"/>
          <w:b/>
          <w:color w:val="auto"/>
          <w:szCs w:val="21"/>
          <w:highlight w:val="none"/>
        </w:rPr>
        <w:t>9、投标文件的语言、度量衡单位</w:t>
      </w:r>
      <w:bookmarkEnd w:id="56"/>
      <w:bookmarkEnd w:id="57"/>
      <w:bookmarkEnd w:id="58"/>
      <w:bookmarkEnd w:id="59"/>
      <w:r>
        <w:rPr>
          <w:rFonts w:hint="eastAsia" w:ascii="宋体" w:hAnsi="宋体" w:eastAsia="宋体" w:cs="宋体"/>
          <w:b/>
          <w:color w:val="auto"/>
          <w:szCs w:val="21"/>
          <w:highlight w:val="none"/>
        </w:rPr>
        <w:t>、货币和编制</w:t>
      </w:r>
    </w:p>
    <w:p w14:paraId="55E095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9.1</w:t>
      </w:r>
      <w:r>
        <w:rPr>
          <w:rFonts w:hint="eastAsia" w:ascii="宋体" w:hAnsi="宋体" w:eastAsia="宋体"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33AF6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9.2</w:t>
      </w:r>
      <w:r>
        <w:rPr>
          <w:rFonts w:hint="eastAsia" w:ascii="宋体" w:hAnsi="宋体" w:eastAsia="宋体" w:cs="宋体"/>
          <w:color w:val="auto"/>
          <w:szCs w:val="21"/>
          <w:highlight w:val="none"/>
        </w:rPr>
        <w:t xml:space="preserve"> 除技术性能另有规定外，投标文件所使用的度量衡单位，均须采用国家法定计量单位。</w:t>
      </w:r>
    </w:p>
    <w:p w14:paraId="4FE871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9.3投标人应使用人民币报价。</w:t>
      </w:r>
    </w:p>
    <w:p w14:paraId="5D139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9.4投标文件应字迹清楚、内容齐全、不得涂改。如有修改，修改处须有投标人加盖公章和法定代表人或其授权代表签字。</w:t>
      </w:r>
    </w:p>
    <w:p w14:paraId="551F7852">
      <w:pPr>
        <w:spacing w:line="360" w:lineRule="auto"/>
        <w:ind w:firstLine="422" w:firstLineChars="200"/>
        <w:rPr>
          <w:rFonts w:hint="eastAsia" w:ascii="宋体" w:hAnsi="宋体" w:eastAsia="宋体" w:cs="宋体"/>
          <w:b/>
          <w:color w:val="auto"/>
          <w:szCs w:val="21"/>
          <w:highlight w:val="none"/>
        </w:rPr>
      </w:pPr>
      <w:bookmarkStart w:id="60" w:name="_Toc513029215"/>
      <w:bookmarkStart w:id="61" w:name="_Toc20823287"/>
      <w:bookmarkStart w:id="62" w:name="_Toc16938531"/>
      <w:bookmarkStart w:id="63" w:name="_Toc462564074"/>
      <w:r>
        <w:rPr>
          <w:rFonts w:hint="eastAsia" w:ascii="宋体" w:hAnsi="宋体" w:eastAsia="宋体" w:cs="宋体"/>
          <w:b/>
          <w:color w:val="auto"/>
          <w:szCs w:val="21"/>
          <w:highlight w:val="none"/>
        </w:rPr>
        <w:t>10、投标文件构成</w:t>
      </w:r>
      <w:bookmarkEnd w:id="60"/>
      <w:bookmarkEnd w:id="61"/>
      <w:bookmarkEnd w:id="62"/>
      <w:bookmarkEnd w:id="63"/>
    </w:p>
    <w:p w14:paraId="78BC9EB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rPr>
        <w:t>10.1</w:t>
      </w:r>
      <w:r>
        <w:rPr>
          <w:rFonts w:hint="eastAsia" w:ascii="宋体" w:hAnsi="宋体" w:eastAsia="宋体" w:cs="宋体"/>
          <w:color w:val="auto"/>
          <w:szCs w:val="21"/>
          <w:highlight w:val="none"/>
        </w:rPr>
        <w:t xml:space="preserve"> 投标人编写的投标文件应包括：</w:t>
      </w:r>
      <w:r>
        <w:rPr>
          <w:rFonts w:hint="eastAsia" w:ascii="宋体" w:hAnsi="宋体" w:eastAsia="宋体" w:cs="宋体"/>
          <w:bCs/>
          <w:color w:val="auto"/>
          <w:szCs w:val="21"/>
          <w:highlight w:val="none"/>
        </w:rPr>
        <w:t>资格证明文件、</w:t>
      </w:r>
      <w:r>
        <w:rPr>
          <w:rFonts w:hint="eastAsia" w:ascii="宋体" w:hAnsi="宋体" w:eastAsia="宋体" w:cs="宋体"/>
          <w:color w:val="auto"/>
          <w:szCs w:val="21"/>
          <w:highlight w:val="none"/>
        </w:rPr>
        <w:t>开标一览表、分项报价表、项目组人员配置、技术参数响应及偏离表、商务条款响应及偏离表、服务方案等部分</w:t>
      </w:r>
      <w:r>
        <w:rPr>
          <w:rFonts w:hint="eastAsia" w:ascii="宋体" w:hAnsi="宋体" w:eastAsia="宋体" w:cs="宋体"/>
          <w:color w:val="auto"/>
          <w:szCs w:val="21"/>
          <w:highlight w:val="none"/>
          <w:lang w:eastAsia="zh-CN"/>
        </w:rPr>
        <w:t>。</w:t>
      </w:r>
    </w:p>
    <w:p w14:paraId="43F29604">
      <w:pPr>
        <w:spacing w:line="360" w:lineRule="auto"/>
        <w:ind w:firstLine="420" w:firstLineChars="200"/>
        <w:rPr>
          <w:rFonts w:hint="eastAsia" w:ascii="宋体" w:hAnsi="宋体" w:eastAsia="宋体" w:cs="宋体"/>
          <w:color w:val="auto"/>
          <w:szCs w:val="21"/>
          <w:highlight w:val="none"/>
        </w:rPr>
      </w:pPr>
      <w:bookmarkStart w:id="64" w:name="_Toc513029219"/>
      <w:bookmarkStart w:id="65" w:name="_Toc14577357"/>
      <w:bookmarkStart w:id="66" w:name="_Toc49090509"/>
      <w:bookmarkStart w:id="67" w:name="_Toc49090507"/>
      <w:bookmarkStart w:id="68" w:name="_Toc14577354"/>
      <w:bookmarkStart w:id="69" w:name="_Toc513029216"/>
      <w:r>
        <w:rPr>
          <w:rFonts w:hint="eastAsia" w:ascii="宋体" w:hAnsi="宋体" w:eastAsia="宋体" w:cs="宋体"/>
          <w:color w:val="auto"/>
          <w:szCs w:val="21"/>
          <w:highlight w:val="none"/>
        </w:rPr>
        <w:t>10.2 投标人应将投标文件按顺序装订成册，应逐页编码，不得跳页（包括但不限于证明材料、声明及产品介绍、彩页等），并编制投标文件资料目录。由于编排混乱导致投标文件被误读或查找不到，责任由投标人承担。</w:t>
      </w:r>
    </w:p>
    <w:p w14:paraId="6670CC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投标人应当根据招标文件要求编制投标文件，投标文件应对招标文件提出的要求和条件作出实质性响应，并在相应的投标文件中逐条标明满足与否。</w:t>
      </w:r>
    </w:p>
    <w:p w14:paraId="317EC63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11、证明投标人资格及符合招标文件规定的文件</w:t>
      </w:r>
      <w:bookmarkEnd w:id="64"/>
      <w:bookmarkEnd w:id="65"/>
      <w:bookmarkEnd w:id="66"/>
    </w:p>
    <w:p w14:paraId="7E23A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11.1投标人应按要求提交资信证明文件及符合招标文件规定的文件。</w:t>
      </w:r>
    </w:p>
    <w:p w14:paraId="7B4C32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11.2投标人应提交证明其有资格参加投标和中标后有能力独立履行合同的文件。</w:t>
      </w:r>
    </w:p>
    <w:p w14:paraId="7CCEF7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11.3投标人除必须具有履行合同所需提供的货物以及服务的能力外，还必须具备相应的财务、技术方面的能力。</w:t>
      </w:r>
    </w:p>
    <w:p w14:paraId="3D4DC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11.4投标人应提交根据合同要求提供的证明产品质量合格以及符合招标文件规定的证明文件。</w:t>
      </w:r>
    </w:p>
    <w:p w14:paraId="638E65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11.5证明投标人所提供货物与招标文件的要求相一致的文件可以是手册、图纸、文字资料和数据</w:t>
      </w:r>
      <w:r>
        <w:rPr>
          <w:rFonts w:hint="eastAsia" w:ascii="宋体" w:hAnsi="宋体" w:eastAsia="宋体" w:cs="宋体"/>
          <w:bCs/>
          <w:color w:val="auto"/>
          <w:szCs w:val="21"/>
          <w:highlight w:val="none"/>
        </w:rPr>
        <w:t>。</w:t>
      </w:r>
    </w:p>
    <w:bookmarkEnd w:id="67"/>
    <w:bookmarkEnd w:id="68"/>
    <w:bookmarkEnd w:id="69"/>
    <w:p w14:paraId="0F85B9E0">
      <w:pPr>
        <w:spacing w:line="360" w:lineRule="auto"/>
        <w:ind w:firstLine="422" w:firstLineChars="200"/>
        <w:rPr>
          <w:rFonts w:hint="eastAsia" w:ascii="宋体" w:hAnsi="宋体" w:eastAsia="宋体" w:cs="宋体"/>
          <w:b/>
          <w:color w:val="auto"/>
          <w:highlight w:val="none"/>
        </w:rPr>
      </w:pPr>
      <w:bookmarkStart w:id="70" w:name="_Toc49090510"/>
      <w:bookmarkStart w:id="71" w:name="_Toc14577359"/>
      <w:r>
        <w:rPr>
          <w:rFonts w:hint="eastAsia" w:ascii="宋体" w:hAnsi="宋体" w:eastAsia="宋体" w:cs="宋体"/>
          <w:b/>
          <w:color w:val="auto"/>
          <w:highlight w:val="none"/>
        </w:rPr>
        <w:t>12、开标一览表和分项报价表</w:t>
      </w:r>
    </w:p>
    <w:p w14:paraId="1B5E53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12.1投标人应按照招标文件规定格式填报开标一览表、分项报价表。每项服务等只允许有一个报价，任何有选择的报价将不予接受。</w:t>
      </w:r>
    </w:p>
    <w:p w14:paraId="6B637B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12.2招标报价采用总承包方式，投标人的报价应包括招标人需求的服务价格及各种规费、利润、税金及其他有关的为完成本项目发生的所有费用，招标文件中另有规定的除外。</w:t>
      </w:r>
    </w:p>
    <w:p w14:paraId="46DC3A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12.3其它费用处理</w:t>
      </w:r>
    </w:p>
    <w:p w14:paraId="5A4980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招标文件未列明，而投标人认为必需的费用也需列入报价。</w:t>
      </w:r>
    </w:p>
    <w:p w14:paraId="2CAFE4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12.4投标货币</w:t>
      </w:r>
    </w:p>
    <w:p w14:paraId="407F5D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投标文件中的单价和总价无特殊规定的采用人民币报价，以元为单位标注。招标文件中另有规定的按规定执行。</w:t>
      </w:r>
    </w:p>
    <w:p w14:paraId="64F2F3B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13、技术参数响应及偏离表、商务条款响应及偏离表</w:t>
      </w:r>
    </w:p>
    <w:p w14:paraId="5B915E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对招标文件中的技术条款、商务条款要求逐项作出响应或偏离，并说明原因；</w:t>
      </w:r>
    </w:p>
    <w:p w14:paraId="3A9BEC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投标人认为需要的其他文件或说明。</w:t>
      </w:r>
    </w:p>
    <w:p w14:paraId="0217F80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14、服务承诺及服务机构、人员的情况介绍</w:t>
      </w:r>
    </w:p>
    <w:p w14:paraId="597DDB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14、1投标人的服务承诺应按不低于招标文件中商务要求的标准。</w:t>
      </w:r>
    </w:p>
    <w:p w14:paraId="5D08E2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14、2提供投标人有关的服务管理制度、服务人员的数量、素质、技术水平及服务的反应能力。</w:t>
      </w:r>
    </w:p>
    <w:p w14:paraId="3197FCA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15、投标函和开标一览表</w:t>
      </w:r>
    </w:p>
    <w:p w14:paraId="3775B9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15.1</w:t>
      </w:r>
      <w:r>
        <w:rPr>
          <w:rFonts w:hint="eastAsia" w:ascii="宋体" w:hAnsi="宋体" w:eastAsia="宋体" w:cs="宋体"/>
          <w:color w:val="auto"/>
          <w:szCs w:val="21"/>
          <w:highlight w:val="none"/>
        </w:rPr>
        <w:t xml:space="preserve"> 投标人应按照招标文件中提供的格式完整、正确填写投标函、开标一览表。</w:t>
      </w:r>
    </w:p>
    <w:p w14:paraId="7D800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15.2</w:t>
      </w:r>
      <w:r>
        <w:rPr>
          <w:rFonts w:hint="eastAsia" w:ascii="宋体" w:hAnsi="宋体" w:eastAsia="宋体" w:cs="宋体"/>
          <w:color w:val="auto"/>
          <w:szCs w:val="21"/>
          <w:highlight w:val="none"/>
        </w:rPr>
        <w:t xml:space="preserve"> 开标一览表中的价格应与投标文件中投标配置与分项报价表中的价格一致，如不一致，不作为无效投标处理，但评标时按开标一览表中价格为准。</w:t>
      </w:r>
    </w:p>
    <w:p w14:paraId="057B5E8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16、投标保证金</w:t>
      </w:r>
      <w:bookmarkEnd w:id="70"/>
      <w:bookmarkEnd w:id="71"/>
    </w:p>
    <w:p w14:paraId="3A7E5CB0">
      <w:pPr>
        <w:spacing w:line="360" w:lineRule="auto"/>
        <w:ind w:firstLine="420" w:firstLineChars="200"/>
        <w:rPr>
          <w:rFonts w:hint="eastAsia" w:ascii="宋体" w:hAnsi="宋体" w:eastAsia="宋体" w:cs="宋体"/>
          <w:bCs/>
          <w:color w:val="auto"/>
          <w:szCs w:val="21"/>
          <w:highlight w:val="none"/>
          <w:shd w:val="clear" w:color="auto" w:fill="FFC000"/>
        </w:rPr>
      </w:pPr>
      <w:bookmarkStart w:id="72" w:name="_Toc49090511"/>
      <w:bookmarkStart w:id="73" w:name="_Toc14577360"/>
      <w:r>
        <w:rPr>
          <w:rFonts w:hint="eastAsia" w:ascii="宋体" w:hAnsi="宋体" w:eastAsia="宋体" w:cs="宋体"/>
          <w:bCs/>
          <w:color w:val="auto"/>
          <w:szCs w:val="21"/>
          <w:highlight w:val="none"/>
        </w:rPr>
        <w:t>本项目无须缴纳投标保证金。</w:t>
      </w:r>
    </w:p>
    <w:p w14:paraId="44F310B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17、投标有效期</w:t>
      </w:r>
      <w:bookmarkEnd w:id="72"/>
      <w:bookmarkEnd w:id="73"/>
    </w:p>
    <w:p w14:paraId="547064A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17.1</w:t>
      </w:r>
      <w:r>
        <w:rPr>
          <w:rFonts w:hint="eastAsia" w:ascii="宋体" w:hAnsi="宋体" w:eastAsia="宋体" w:cs="宋体"/>
          <w:bCs/>
          <w:color w:val="auto"/>
          <w:szCs w:val="21"/>
          <w:highlight w:val="none"/>
        </w:rPr>
        <w:t xml:space="preserve"> 投标有效期为代理机构规定的开标之日起</w:t>
      </w:r>
      <w:r>
        <w:rPr>
          <w:rFonts w:hint="eastAsia" w:ascii="宋体" w:hAnsi="宋体" w:eastAsia="宋体" w:cs="宋体"/>
          <w:b/>
          <w:color w:val="auto"/>
          <w:szCs w:val="21"/>
          <w:highlight w:val="none"/>
          <w:u w:val="single"/>
        </w:rPr>
        <w:t>六十（60）天</w:t>
      </w:r>
      <w:r>
        <w:rPr>
          <w:rFonts w:hint="eastAsia" w:ascii="宋体" w:hAnsi="宋体" w:eastAsia="宋体" w:cs="宋体"/>
          <w:bCs/>
          <w:color w:val="auto"/>
          <w:szCs w:val="21"/>
          <w:highlight w:val="none"/>
        </w:rPr>
        <w:t>。投标有效期比规定短的将被视为非响应性投标而予以拒绝。</w:t>
      </w:r>
    </w:p>
    <w:p w14:paraId="5E5E1B1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17.2</w:t>
      </w:r>
      <w:r>
        <w:rPr>
          <w:rFonts w:hint="eastAsia" w:ascii="宋体" w:hAnsi="宋体" w:eastAsia="宋体"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w:t>
      </w:r>
      <w:r>
        <w:rPr>
          <w:rFonts w:hint="eastAsia" w:ascii="宋体" w:hAnsi="宋体" w:eastAsia="宋体" w:cs="宋体"/>
          <w:color w:val="auto"/>
          <w:szCs w:val="21"/>
          <w:highlight w:val="none"/>
        </w:rPr>
        <w:t>同时受投标有效期约束的所有权利与义务均延长至新的有效期</w:t>
      </w:r>
      <w:r>
        <w:rPr>
          <w:rFonts w:hint="eastAsia" w:ascii="宋体" w:hAnsi="宋体" w:eastAsia="宋体" w:cs="宋体"/>
          <w:bCs/>
          <w:color w:val="auto"/>
          <w:szCs w:val="21"/>
          <w:highlight w:val="none"/>
        </w:rPr>
        <w:t>。</w:t>
      </w:r>
    </w:p>
    <w:p w14:paraId="19DE33F9">
      <w:pPr>
        <w:spacing w:line="360" w:lineRule="auto"/>
        <w:ind w:firstLine="422" w:firstLineChars="200"/>
        <w:rPr>
          <w:rFonts w:hint="eastAsia" w:ascii="宋体" w:hAnsi="宋体" w:eastAsia="宋体" w:cs="宋体"/>
          <w:b/>
          <w:color w:val="auto"/>
          <w:szCs w:val="21"/>
          <w:highlight w:val="none"/>
        </w:rPr>
      </w:pPr>
      <w:bookmarkStart w:id="74" w:name="_Toc14577361"/>
      <w:bookmarkStart w:id="75" w:name="_Toc49090512"/>
      <w:r>
        <w:rPr>
          <w:rFonts w:hint="eastAsia" w:ascii="宋体" w:hAnsi="宋体" w:eastAsia="宋体" w:cs="宋体"/>
          <w:b/>
          <w:color w:val="auto"/>
          <w:szCs w:val="21"/>
          <w:highlight w:val="none"/>
        </w:rPr>
        <w:t>18、投标文件份数和签署</w:t>
      </w:r>
      <w:bookmarkEnd w:id="74"/>
      <w:bookmarkEnd w:id="75"/>
    </w:p>
    <w:p w14:paraId="2712E7B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18.1</w:t>
      </w:r>
      <w:r>
        <w:rPr>
          <w:rFonts w:hint="eastAsia" w:ascii="宋体" w:hAnsi="宋体" w:eastAsia="宋体" w:cs="宋体"/>
          <w:bCs/>
          <w:color w:val="auto"/>
          <w:szCs w:val="21"/>
          <w:highlight w:val="none"/>
        </w:rPr>
        <w:t>投标人应严格按照招标公告和招标文件要求的份数准备投标文件，每份投标文件须清楚地标明“正本”或“副本”字样。一旦正本和副本不符，以正本为准。</w:t>
      </w:r>
    </w:p>
    <w:p w14:paraId="6C48E5F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384DEA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w:t>
      </w:r>
      <w:r>
        <w:rPr>
          <w:rFonts w:hint="eastAsia" w:ascii="宋体" w:hAnsi="宋体" w:eastAsia="宋体" w:cs="宋体"/>
          <w:bCs/>
          <w:color w:val="auto"/>
          <w:szCs w:val="21"/>
          <w:highlight w:val="none"/>
        </w:rPr>
        <w:t xml:space="preserve"> 除投标人对错处做必要修改外，投标文件不得行间插字、涂改或增删。如有修改错漏处，必须由法定代表人或授权代表签字或盖章。</w:t>
      </w:r>
    </w:p>
    <w:p w14:paraId="0D643BC0">
      <w:pPr>
        <w:spacing w:line="360" w:lineRule="auto"/>
        <w:ind w:firstLine="422" w:firstLineChars="200"/>
        <w:rPr>
          <w:rFonts w:hint="eastAsia" w:ascii="宋体" w:hAnsi="宋体" w:eastAsia="宋体" w:cs="宋体"/>
          <w:b/>
          <w:color w:val="auto"/>
          <w:szCs w:val="21"/>
          <w:highlight w:val="none"/>
        </w:rPr>
      </w:pPr>
      <w:bookmarkStart w:id="76" w:name="_Toc16938541"/>
      <w:bookmarkStart w:id="77" w:name="_Toc462564084"/>
      <w:bookmarkStart w:id="78" w:name="_Toc513029225"/>
      <w:bookmarkStart w:id="79" w:name="_Toc20823297"/>
      <w:r>
        <w:rPr>
          <w:rFonts w:hint="eastAsia" w:ascii="宋体" w:hAnsi="宋体" w:eastAsia="宋体" w:cs="宋体"/>
          <w:b/>
          <w:color w:val="auto"/>
          <w:szCs w:val="21"/>
          <w:highlight w:val="none"/>
        </w:rPr>
        <w:t>19、投标文件的密封和标记</w:t>
      </w:r>
      <w:bookmarkEnd w:id="76"/>
      <w:bookmarkEnd w:id="77"/>
      <w:bookmarkEnd w:id="78"/>
      <w:bookmarkEnd w:id="79"/>
    </w:p>
    <w:p w14:paraId="3E944E0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19.1</w:t>
      </w:r>
      <w:r>
        <w:rPr>
          <w:rFonts w:hint="eastAsia" w:ascii="宋体" w:hAnsi="宋体" w:eastAsia="宋体" w:cs="宋体"/>
          <w:bCs/>
          <w:color w:val="auto"/>
          <w:szCs w:val="21"/>
          <w:highlight w:val="none"/>
        </w:rPr>
        <w:t>投标人应将投标文件正本、所有副本密封，不论投标人中标与否，投标文件均不退回。</w:t>
      </w:r>
    </w:p>
    <w:p w14:paraId="0AF38D5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19.2</w:t>
      </w:r>
      <w:r>
        <w:rPr>
          <w:rFonts w:hint="eastAsia" w:ascii="宋体" w:hAnsi="宋体" w:eastAsia="宋体" w:cs="宋体"/>
          <w:bCs/>
          <w:color w:val="auto"/>
          <w:szCs w:val="21"/>
          <w:highlight w:val="none"/>
        </w:rPr>
        <w:t xml:space="preserve"> 密封的投标文件应：</w:t>
      </w:r>
    </w:p>
    <w:p w14:paraId="4456362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19.2.1 注明投标人名称，如因标注不清而产生的后果由投标人自负。按招标公告中注明的地址送达；</w:t>
      </w:r>
    </w:p>
    <w:p w14:paraId="2F37BF1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19.2.2注明投标项目名称、标书编号。</w:t>
      </w:r>
    </w:p>
    <w:p w14:paraId="643F538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19.2.3</w:t>
      </w:r>
      <w:r>
        <w:rPr>
          <w:rFonts w:hint="eastAsia" w:ascii="宋体" w:hAnsi="宋体" w:eastAsia="宋体" w:cs="宋体"/>
          <w:bCs/>
          <w:color w:val="auto"/>
          <w:szCs w:val="21"/>
          <w:highlight w:val="none"/>
        </w:rPr>
        <w:t>未按要求密封和加写标记，代理机构对误投或过早启封概不负责。对由此造成提前开封的投标文件，代理机构将予以拒绝，作无效投标处理。</w:t>
      </w:r>
    </w:p>
    <w:p w14:paraId="350BD51F">
      <w:pPr>
        <w:spacing w:line="360" w:lineRule="auto"/>
        <w:ind w:firstLine="422" w:firstLineChars="200"/>
        <w:rPr>
          <w:rFonts w:hint="eastAsia" w:ascii="宋体" w:hAnsi="宋体" w:eastAsia="宋体" w:cs="宋体"/>
          <w:b/>
          <w:color w:val="auto"/>
          <w:szCs w:val="21"/>
          <w:highlight w:val="none"/>
        </w:rPr>
      </w:pPr>
      <w:bookmarkStart w:id="80" w:name="_Toc513029226"/>
      <w:bookmarkStart w:id="81" w:name="_Toc20823298"/>
      <w:bookmarkStart w:id="82" w:name="_Toc16938542"/>
      <w:r>
        <w:rPr>
          <w:rFonts w:hint="eastAsia" w:ascii="宋体" w:hAnsi="宋体" w:eastAsia="宋体" w:cs="宋体"/>
          <w:b/>
          <w:color w:val="auto"/>
          <w:szCs w:val="21"/>
          <w:highlight w:val="none"/>
        </w:rPr>
        <w:t>20、投标截止日期</w:t>
      </w:r>
      <w:bookmarkEnd w:id="80"/>
      <w:bookmarkEnd w:id="81"/>
      <w:bookmarkEnd w:id="82"/>
    </w:p>
    <w:p w14:paraId="5B441A9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20.1</w:t>
      </w:r>
      <w:r>
        <w:rPr>
          <w:rFonts w:hint="eastAsia" w:ascii="宋体" w:hAnsi="宋体" w:eastAsia="宋体" w:cs="宋体"/>
          <w:bCs/>
          <w:color w:val="auto"/>
          <w:szCs w:val="21"/>
          <w:highlight w:val="none"/>
        </w:rPr>
        <w:t xml:space="preserve"> 代理机构收到投标文件的时间不得迟于招标公告中规定的截止时间。</w:t>
      </w:r>
    </w:p>
    <w:p w14:paraId="743E98B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14:paraId="6BF0DFF0">
      <w:pPr>
        <w:spacing w:line="360" w:lineRule="auto"/>
        <w:ind w:firstLine="422" w:firstLineChars="200"/>
        <w:rPr>
          <w:rFonts w:hint="eastAsia" w:ascii="宋体" w:hAnsi="宋体" w:eastAsia="宋体" w:cs="宋体"/>
          <w:b/>
          <w:color w:val="auto"/>
          <w:szCs w:val="21"/>
          <w:highlight w:val="none"/>
        </w:rPr>
      </w:pPr>
      <w:bookmarkStart w:id="83" w:name="_Toc16938543"/>
      <w:bookmarkStart w:id="84" w:name="_Toc513029227"/>
      <w:bookmarkStart w:id="85" w:name="_Toc20823299"/>
      <w:r>
        <w:rPr>
          <w:rFonts w:hint="eastAsia" w:ascii="宋体" w:hAnsi="宋体" w:eastAsia="宋体" w:cs="宋体"/>
          <w:b/>
          <w:color w:val="auto"/>
          <w:szCs w:val="21"/>
          <w:highlight w:val="none"/>
        </w:rPr>
        <w:t>21、迟交的投标文件</w:t>
      </w:r>
      <w:bookmarkEnd w:id="83"/>
      <w:bookmarkEnd w:id="84"/>
      <w:bookmarkEnd w:id="85"/>
    </w:p>
    <w:p w14:paraId="0705C19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bCs/>
          <w:color w:val="auto"/>
          <w:szCs w:val="21"/>
          <w:highlight w:val="none"/>
        </w:rPr>
        <w:t xml:space="preserve"> 代理机构拒绝接收在其规定的投标截止时间后递交的任何投标文件。</w:t>
      </w:r>
    </w:p>
    <w:p w14:paraId="308C8271">
      <w:pPr>
        <w:spacing w:line="360" w:lineRule="auto"/>
        <w:ind w:firstLine="422" w:firstLineChars="200"/>
        <w:rPr>
          <w:rFonts w:hint="eastAsia" w:ascii="宋体" w:hAnsi="宋体" w:eastAsia="宋体" w:cs="宋体"/>
          <w:b/>
          <w:color w:val="auto"/>
          <w:szCs w:val="21"/>
          <w:highlight w:val="none"/>
        </w:rPr>
      </w:pPr>
      <w:bookmarkStart w:id="86" w:name="_Toc16938544"/>
      <w:bookmarkStart w:id="87" w:name="_Toc20823300"/>
      <w:bookmarkStart w:id="88" w:name="_Toc513029228"/>
      <w:r>
        <w:rPr>
          <w:rFonts w:hint="eastAsia" w:ascii="宋体" w:hAnsi="宋体" w:eastAsia="宋体" w:cs="宋体"/>
          <w:b/>
          <w:color w:val="auto"/>
          <w:szCs w:val="21"/>
          <w:highlight w:val="none"/>
        </w:rPr>
        <w:t>22、投标文件的修改和撤回</w:t>
      </w:r>
      <w:bookmarkEnd w:id="86"/>
      <w:bookmarkEnd w:id="87"/>
      <w:bookmarkEnd w:id="88"/>
    </w:p>
    <w:p w14:paraId="7FCB40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r>
        <w:rPr>
          <w:rFonts w:hint="eastAsia" w:ascii="宋体" w:hAnsi="宋体" w:eastAsia="宋体" w:cs="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eastAsia="宋体" w:cs="宋体"/>
          <w:color w:val="auto"/>
          <w:szCs w:val="21"/>
          <w:highlight w:val="none"/>
        </w:rPr>
        <w:t>通知代理机构，否则，代理机构将拒绝。</w:t>
      </w:r>
    </w:p>
    <w:p w14:paraId="097E66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r>
        <w:rPr>
          <w:rFonts w:hint="eastAsia" w:ascii="宋体" w:hAnsi="宋体" w:eastAsia="宋体" w:cs="宋体"/>
          <w:bCs/>
          <w:color w:val="auto"/>
          <w:szCs w:val="21"/>
          <w:highlight w:val="none"/>
        </w:rPr>
        <w:t xml:space="preserve"> 投标人的修改或撤回文件应按规定进行编制、密封、标记和发送，并应在封套上加注“修改”或“撤回”字样。</w:t>
      </w:r>
      <w:r>
        <w:rPr>
          <w:rFonts w:hint="eastAsia" w:ascii="宋体" w:hAnsi="宋体" w:eastAsia="宋体" w:cs="宋体"/>
          <w:color w:val="auto"/>
          <w:szCs w:val="21"/>
          <w:highlight w:val="none"/>
        </w:rPr>
        <w:t>上述补充或修改若涉及投标报价，必须注明“最后唯一报价”字样，否则将视为有选择的报价。修改文件必须在投标截止时间前送达代理机构。</w:t>
      </w:r>
    </w:p>
    <w:p w14:paraId="466E19A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22.3</w:t>
      </w:r>
      <w:r>
        <w:rPr>
          <w:rFonts w:hint="eastAsia" w:ascii="宋体" w:hAnsi="宋体" w:eastAsia="宋体" w:cs="宋体"/>
          <w:bCs/>
          <w:color w:val="auto"/>
          <w:szCs w:val="21"/>
          <w:highlight w:val="none"/>
        </w:rPr>
        <w:t xml:space="preserve"> 在投标截止时间之后，投标人不得对其投标文件作任何修改。</w:t>
      </w:r>
    </w:p>
    <w:p w14:paraId="719504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w:t>
      </w:r>
      <w:r>
        <w:rPr>
          <w:rFonts w:hint="eastAsia" w:ascii="宋体" w:hAnsi="宋体" w:eastAsia="宋体" w:cs="宋体"/>
          <w:bCs/>
          <w:color w:val="auto"/>
          <w:szCs w:val="21"/>
          <w:highlight w:val="none"/>
        </w:rPr>
        <w:t xml:space="preserve"> 在投标截止时间至招标文件中规定的投标有效期满之间的这段时间内，投标人不得撤回其投标。</w:t>
      </w:r>
    </w:p>
    <w:p w14:paraId="174CC737">
      <w:pPr>
        <w:spacing w:line="360" w:lineRule="auto"/>
        <w:ind w:firstLine="422" w:firstLineChars="200"/>
        <w:rPr>
          <w:rFonts w:hint="eastAsia" w:ascii="宋体" w:hAnsi="宋体" w:eastAsia="宋体" w:cs="宋体"/>
          <w:b/>
          <w:color w:val="auto"/>
          <w:szCs w:val="21"/>
          <w:highlight w:val="none"/>
        </w:rPr>
      </w:pPr>
      <w:bookmarkStart w:id="89" w:name="_Toc16938546"/>
      <w:bookmarkStart w:id="90" w:name="_Toc20823302"/>
      <w:bookmarkStart w:id="91" w:name="_Toc513029230"/>
      <w:r>
        <w:rPr>
          <w:rFonts w:hint="eastAsia" w:ascii="宋体" w:hAnsi="宋体" w:eastAsia="宋体" w:cs="宋体"/>
          <w:b/>
          <w:color w:val="auto"/>
          <w:szCs w:val="21"/>
          <w:highlight w:val="none"/>
        </w:rPr>
        <w:t>23、开标</w:t>
      </w:r>
      <w:bookmarkEnd w:id="89"/>
      <w:bookmarkEnd w:id="90"/>
      <w:bookmarkEnd w:id="91"/>
    </w:p>
    <w:p w14:paraId="0C1F7D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r>
        <w:rPr>
          <w:rFonts w:hint="eastAsia" w:ascii="宋体" w:hAnsi="宋体" w:eastAsia="宋体" w:cs="宋体"/>
          <w:bCs/>
          <w:color w:val="auto"/>
          <w:szCs w:val="21"/>
          <w:highlight w:val="none"/>
        </w:rPr>
        <w:t>代理机构将在招标公告中规定的时间和地点组织公开开标</w:t>
      </w:r>
      <w:r>
        <w:rPr>
          <w:rFonts w:hint="eastAsia" w:ascii="宋体" w:hAnsi="宋体" w:eastAsia="宋体" w:cs="宋体"/>
          <w:color w:val="auto"/>
          <w:szCs w:val="21"/>
          <w:highlight w:val="none"/>
        </w:rPr>
        <w:t>。投标人应委派携带有效证件的代表准时参加，参加开标的代表需签名以证明其出席。投标人未参加开标的，视同认可开标结果。</w:t>
      </w:r>
    </w:p>
    <w:p w14:paraId="049543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23.2</w:t>
      </w:r>
      <w:r>
        <w:rPr>
          <w:rFonts w:hint="eastAsia" w:ascii="宋体" w:hAnsi="宋体" w:eastAsia="宋体" w:cs="宋体"/>
          <w:color w:val="auto"/>
          <w:szCs w:val="21"/>
          <w:highlight w:val="none"/>
        </w:rPr>
        <w:t>开标仪式由代理机构组织。</w:t>
      </w:r>
    </w:p>
    <w:p w14:paraId="4CA92E4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23.3</w:t>
      </w:r>
      <w:r>
        <w:rPr>
          <w:rFonts w:hint="eastAsia" w:ascii="宋体" w:hAnsi="宋体" w:eastAsia="宋体" w:cs="宋体"/>
          <w:bCs/>
          <w:color w:val="auto"/>
          <w:szCs w:val="21"/>
          <w:highlight w:val="none"/>
        </w:rPr>
        <w:t>按照规定同意撤回的投标文件将不予开封。</w:t>
      </w:r>
    </w:p>
    <w:p w14:paraId="48217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10C7E9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 代理机构将指定专人负责开标记录并存档备查，各投标人需仔细核对开标纪录相关内容并签字确认。</w:t>
      </w:r>
    </w:p>
    <w:p w14:paraId="43D916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23.6 投标人在报价时不允许采用选择性报价，否则将被视为无效投标。</w:t>
      </w:r>
    </w:p>
    <w:p w14:paraId="1CF37A0D">
      <w:pPr>
        <w:spacing w:line="360" w:lineRule="auto"/>
        <w:ind w:firstLine="422" w:firstLineChars="200"/>
        <w:rPr>
          <w:rFonts w:hint="eastAsia" w:ascii="宋体" w:hAnsi="宋体" w:eastAsia="宋体" w:cs="宋体"/>
          <w:b/>
          <w:color w:val="auto"/>
          <w:szCs w:val="21"/>
          <w:highlight w:val="none"/>
        </w:rPr>
      </w:pPr>
      <w:bookmarkStart w:id="92" w:name="_Toc20823303"/>
      <w:bookmarkStart w:id="93" w:name="_Toc513029231"/>
      <w:bookmarkStart w:id="94" w:name="_Toc16938547"/>
      <w:r>
        <w:rPr>
          <w:rFonts w:hint="eastAsia" w:ascii="宋体" w:hAnsi="宋体" w:eastAsia="宋体" w:cs="宋体"/>
          <w:b/>
          <w:color w:val="auto"/>
          <w:szCs w:val="21"/>
          <w:highlight w:val="none"/>
        </w:rPr>
        <w:t>24、评标委员会</w:t>
      </w:r>
    </w:p>
    <w:p w14:paraId="5B665E67">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24.1开标后，代理机构将立即组织评标委员会（以下简称评委会）进行评标。</w:t>
      </w:r>
    </w:p>
    <w:p w14:paraId="2FA65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24.2 </w:t>
      </w:r>
      <w:r>
        <w:rPr>
          <w:rFonts w:hint="eastAsia" w:ascii="宋体" w:hAnsi="宋体" w:eastAsia="宋体" w:cs="宋体"/>
          <w:color w:val="auto"/>
          <w:szCs w:val="21"/>
          <w:highlight w:val="none"/>
        </w:rPr>
        <w:t>评委会由有关技术、经济等方面的专家组成</w:t>
      </w:r>
      <w:r>
        <w:rPr>
          <w:rFonts w:hint="eastAsia" w:ascii="宋体" w:hAnsi="宋体" w:eastAsia="宋体" w:cs="宋体"/>
          <w:color w:val="auto"/>
          <w:szCs w:val="21"/>
          <w:highlight w:val="none"/>
        </w:rPr>
        <w:t>。</w:t>
      </w:r>
    </w:p>
    <w:p w14:paraId="18DE0B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24.3评委会独立工作，负责评审所有投标文件并确定中标候选人。</w:t>
      </w:r>
    </w:p>
    <w:p w14:paraId="3D8E27C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25、评标过程的保密与公正</w:t>
      </w:r>
    </w:p>
    <w:bookmarkEnd w:id="92"/>
    <w:bookmarkEnd w:id="93"/>
    <w:bookmarkEnd w:id="94"/>
    <w:p w14:paraId="09735CF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14:paraId="1E164C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25.2在评标过程中，投标人不得以任何行为影响评标过程，否则其投标文件将被作为无效投标文件。</w:t>
      </w:r>
    </w:p>
    <w:p w14:paraId="7C0EA1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 在评标期间，代理机构将设专门工作人员与投标人联系。</w:t>
      </w:r>
    </w:p>
    <w:p w14:paraId="611A3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25.4 代理机构和评委会不向落标的投标人解释未中标原因，也不公布评标过程中的相关细节。</w:t>
      </w:r>
    </w:p>
    <w:p w14:paraId="65F0C5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13B591BB">
      <w:pPr>
        <w:spacing w:line="360" w:lineRule="auto"/>
        <w:ind w:firstLine="422" w:firstLineChars="200"/>
        <w:rPr>
          <w:rFonts w:hint="eastAsia" w:ascii="宋体" w:hAnsi="宋体" w:eastAsia="宋体" w:cs="宋体"/>
          <w:b/>
          <w:color w:val="auto"/>
          <w:szCs w:val="21"/>
          <w:highlight w:val="none"/>
        </w:rPr>
      </w:pPr>
      <w:bookmarkStart w:id="95" w:name="_Toc16938548"/>
      <w:bookmarkStart w:id="96" w:name="_Toc20823304"/>
      <w:bookmarkStart w:id="97" w:name="_Toc513029232"/>
      <w:r>
        <w:rPr>
          <w:rFonts w:hint="eastAsia" w:ascii="宋体" w:hAnsi="宋体" w:eastAsia="宋体" w:cs="宋体"/>
          <w:b/>
          <w:color w:val="auto"/>
          <w:szCs w:val="21"/>
          <w:highlight w:val="none"/>
        </w:rPr>
        <w:t>26、投标的澄清</w:t>
      </w:r>
      <w:bookmarkEnd w:id="95"/>
      <w:bookmarkEnd w:id="96"/>
      <w:bookmarkEnd w:id="97"/>
    </w:p>
    <w:p w14:paraId="607E98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26.1评标期间，为有助于对投标文件的审查、评价和比较，评委会有权以书面形式要求投标人对其投标文件进行澄清，但并非对每个投标人都作澄清要求。</w:t>
      </w:r>
    </w:p>
    <w:p w14:paraId="09FB05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068BAA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接到评委会澄清要求的投标人如未按规定做出澄清，其风险由投标人自行承担。</w:t>
      </w:r>
    </w:p>
    <w:p w14:paraId="2E3DFA5A">
      <w:pPr>
        <w:spacing w:line="360" w:lineRule="auto"/>
        <w:ind w:firstLine="422" w:firstLineChars="200"/>
        <w:rPr>
          <w:rFonts w:hint="eastAsia" w:ascii="宋体" w:hAnsi="宋体" w:eastAsia="宋体" w:cs="宋体"/>
          <w:b/>
          <w:color w:val="auto"/>
          <w:szCs w:val="21"/>
          <w:highlight w:val="none"/>
        </w:rPr>
      </w:pPr>
      <w:bookmarkStart w:id="98" w:name="_Toc20823305"/>
      <w:bookmarkStart w:id="99" w:name="_Toc513029233"/>
      <w:bookmarkStart w:id="100" w:name="_Toc16938549"/>
      <w:r>
        <w:rPr>
          <w:rFonts w:hint="eastAsia" w:ascii="宋体" w:hAnsi="宋体" w:eastAsia="宋体" w:cs="宋体"/>
          <w:b/>
          <w:color w:val="auto"/>
          <w:szCs w:val="21"/>
          <w:highlight w:val="none"/>
        </w:rPr>
        <w:t>27、对投标文件的初审</w:t>
      </w:r>
      <w:bookmarkEnd w:id="98"/>
      <w:bookmarkEnd w:id="99"/>
      <w:bookmarkEnd w:id="100"/>
    </w:p>
    <w:p w14:paraId="7E665CD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bCs/>
          <w:color w:val="auto"/>
          <w:szCs w:val="21"/>
          <w:highlight w:val="none"/>
        </w:rPr>
        <w:t>投标文件初审分为资格检查和符合性检查。</w:t>
      </w:r>
    </w:p>
    <w:p w14:paraId="713CB08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27.1.1</w:t>
      </w:r>
      <w:r>
        <w:rPr>
          <w:rFonts w:hint="eastAsia" w:ascii="宋体" w:hAnsi="宋体" w:eastAsia="宋体" w:cs="宋体"/>
          <w:bCs/>
          <w:color w:val="auto"/>
          <w:szCs w:val="21"/>
          <w:highlight w:val="none"/>
        </w:rPr>
        <w:t>资格审查：依据法律法规和招标文件的规定，对投标文件中的资信证明文件进行审查。并将审查结论以书面形式向评委会反馈。</w:t>
      </w:r>
    </w:p>
    <w:p w14:paraId="5EAAC61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27.1.2</w:t>
      </w:r>
      <w:r>
        <w:rPr>
          <w:rFonts w:hint="eastAsia" w:ascii="宋体" w:hAnsi="宋体" w:eastAsia="宋体" w:cs="宋体"/>
          <w:bCs/>
          <w:color w:val="auto"/>
          <w:szCs w:val="21"/>
          <w:highlight w:val="none"/>
        </w:rPr>
        <w:t>符合性检查：依据招标文件的规定，由评委会从投标文件的有效性、完整性和对招标文件的响应程度进行审查，以确定是否对招标文件的实质性要求作出响应。</w:t>
      </w:r>
    </w:p>
    <w:p w14:paraId="609129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2153CD4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eastAsia="宋体" w:cs="宋体"/>
          <w:bCs/>
          <w:color w:val="auto"/>
          <w:szCs w:val="21"/>
          <w:highlight w:val="none"/>
        </w:rPr>
        <w:t>评委决定投标文件的响应性只根据投标文件本身的内容，而不寻求外部的证据。</w:t>
      </w:r>
    </w:p>
    <w:p w14:paraId="45229A2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27.3</w:t>
      </w:r>
      <w:r>
        <w:rPr>
          <w:rFonts w:hint="eastAsia" w:ascii="宋体" w:hAnsi="宋体" w:eastAsia="宋体"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14:paraId="1D36202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27.4</w:t>
      </w:r>
      <w:r>
        <w:rPr>
          <w:rFonts w:hint="eastAsia" w:ascii="宋体" w:hAnsi="宋体" w:eastAsia="宋体" w:cs="宋体"/>
          <w:bCs/>
          <w:color w:val="auto"/>
          <w:szCs w:val="21"/>
          <w:highlight w:val="none"/>
        </w:rPr>
        <w:t>评委会将对确定为实质性响应的投标进行进一步审核，看其是否有计算上或累加上的算术错误，对开标一览表内容修正错误的原则如下：</w:t>
      </w:r>
    </w:p>
    <w:p w14:paraId="4F5D925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（1）投标文件中开标一览表内容与投标文件中相应内容不一致的，以开标一览表为准。</w:t>
      </w:r>
    </w:p>
    <w:p w14:paraId="7C33797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（2）投标文件、“开标一览表”中报价的大写金额与小写金额不一致的，以大写金额为准。</w:t>
      </w:r>
    </w:p>
    <w:p w14:paraId="7C79362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（3）单价金额小数点或者百分比有明显错位的，以开标一览表的总价为准，并修改单价。</w:t>
      </w:r>
    </w:p>
    <w:p w14:paraId="3F3E9B9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（4）总价金额与按单价汇总金额不一致的，以单价金额计算结果为准。</w:t>
      </w:r>
    </w:p>
    <w:p w14:paraId="5300959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同时出现两种以上错误的，按照前款规定的顺序修正。对不同文字文本投标文件的解释发生异议的，以中文文本为准。</w:t>
      </w:r>
    </w:p>
    <w:p w14:paraId="18FE87C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27.5</w:t>
      </w:r>
      <w:r>
        <w:rPr>
          <w:rFonts w:hint="eastAsia" w:ascii="宋体" w:hAnsi="宋体" w:eastAsia="宋体" w:cs="宋体"/>
          <w:bCs/>
          <w:color w:val="auto"/>
          <w:szCs w:val="21"/>
          <w:highlight w:val="none"/>
        </w:rPr>
        <w:t>评委会将按上述修正错误的方法调整投标文件中的投标报价，调整后的价格应对投标人具有约束力。如果投标人不接受修正后的价格，则其投标将被拒绝。</w:t>
      </w:r>
    </w:p>
    <w:p w14:paraId="7D5EFF0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27.6</w:t>
      </w:r>
      <w:r>
        <w:rPr>
          <w:rFonts w:hint="eastAsia" w:ascii="宋体" w:hAnsi="宋体" w:eastAsia="宋体"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14:paraId="67FF1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招标文件未规定的通过随机抽取的方式确定一个参加评标的投标人，其他投标无效。</w:t>
      </w:r>
    </w:p>
    <w:p w14:paraId="51B7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招标文件未规定的采取随机抽取的方式确定一个中标候选人，其他同品牌投标人不作为中标候选人。</w:t>
      </w:r>
    </w:p>
    <w:p w14:paraId="28FD73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非单一产品采购项目，招标文件中将载明其中的核心产品。多家投标人提供的核心产品品牌相同的，按前两款规定处理。</w:t>
      </w:r>
    </w:p>
    <w:p w14:paraId="58F4EF02">
      <w:pPr>
        <w:spacing w:line="360" w:lineRule="auto"/>
        <w:ind w:firstLine="422" w:firstLineChars="200"/>
        <w:rPr>
          <w:rFonts w:hint="eastAsia" w:ascii="宋体" w:hAnsi="宋体" w:eastAsia="宋体" w:cs="宋体"/>
          <w:b/>
          <w:color w:val="auto"/>
          <w:szCs w:val="21"/>
          <w:highlight w:val="none"/>
        </w:rPr>
      </w:pPr>
      <w:bookmarkStart w:id="101" w:name="_Toc16938550"/>
      <w:bookmarkStart w:id="102" w:name="_Toc513029234"/>
      <w:bookmarkStart w:id="103" w:name="_Toc20823306"/>
      <w:r>
        <w:rPr>
          <w:rFonts w:hint="eastAsia" w:ascii="宋体" w:hAnsi="宋体" w:eastAsia="宋体" w:cs="宋体"/>
          <w:b/>
          <w:color w:val="auto"/>
          <w:szCs w:val="21"/>
          <w:highlight w:val="none"/>
        </w:rPr>
        <w:t>28、</w:t>
      </w:r>
      <w:bookmarkEnd w:id="101"/>
      <w:bookmarkEnd w:id="102"/>
      <w:bookmarkEnd w:id="103"/>
      <w:r>
        <w:rPr>
          <w:rFonts w:hint="eastAsia" w:ascii="宋体" w:hAnsi="宋体" w:eastAsia="宋体" w:cs="宋体"/>
          <w:b/>
          <w:color w:val="auto"/>
          <w:szCs w:val="21"/>
          <w:highlight w:val="none"/>
        </w:rPr>
        <w:t>无效投标、废标及投标人不足三家的处理</w:t>
      </w:r>
    </w:p>
    <w:p w14:paraId="0FF7199C">
      <w:pPr>
        <w:spacing w:line="360" w:lineRule="auto"/>
        <w:ind w:firstLine="420" w:firstLineChars="200"/>
        <w:rPr>
          <w:rFonts w:hint="eastAsia" w:ascii="宋体" w:hAnsi="宋体" w:eastAsia="宋体" w:cs="宋体"/>
          <w:bCs/>
          <w:color w:val="auto"/>
          <w:szCs w:val="21"/>
          <w:highlight w:val="none"/>
        </w:rPr>
      </w:pPr>
      <w:bookmarkStart w:id="104" w:name="_Toc513029235"/>
      <w:bookmarkStart w:id="105" w:name="_Toc20823307"/>
      <w:bookmarkStart w:id="106" w:name="_Toc16938551"/>
      <w:r>
        <w:rPr>
          <w:rFonts w:hint="eastAsia" w:ascii="宋体" w:hAnsi="宋体" w:eastAsia="宋体" w:cs="宋体"/>
          <w:bCs/>
          <w:color w:val="auto"/>
          <w:szCs w:val="21"/>
          <w:highlight w:val="none"/>
        </w:rPr>
        <w:t>28.1无效投标条款</w:t>
      </w:r>
    </w:p>
    <w:p w14:paraId="1C2EEA1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28.1.1未按照招标文件规定要求密封、签署、盖章的；</w:t>
      </w:r>
    </w:p>
    <w:p w14:paraId="6F5D3C7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28.1.2投标人在报价时采用选择性报价；</w:t>
      </w:r>
    </w:p>
    <w:p w14:paraId="056B04A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28.1.3投标人不具备招标文件中规定资格要求的；</w:t>
      </w:r>
    </w:p>
    <w:p w14:paraId="1851055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28.1.4投标人的报价超过了采购预算或</w:t>
      </w:r>
      <w:r>
        <w:rPr>
          <w:rFonts w:hint="eastAsia" w:ascii="宋体" w:hAnsi="宋体" w:eastAsia="宋体" w:cs="宋体"/>
          <w:bCs/>
          <w:color w:val="auto"/>
          <w:szCs w:val="21"/>
          <w:highlight w:val="none"/>
          <w:lang w:eastAsia="zh-CN"/>
        </w:rPr>
        <w:t>最高投标限价</w:t>
      </w:r>
      <w:r>
        <w:rPr>
          <w:rFonts w:hint="eastAsia" w:ascii="宋体" w:hAnsi="宋体" w:eastAsia="宋体" w:cs="宋体"/>
          <w:bCs/>
          <w:color w:val="auto"/>
          <w:szCs w:val="21"/>
          <w:highlight w:val="none"/>
        </w:rPr>
        <w:t>的；</w:t>
      </w:r>
    </w:p>
    <w:p w14:paraId="1502E86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28.1.5未通过符合性检查的；</w:t>
      </w:r>
    </w:p>
    <w:bookmarkEnd w:id="104"/>
    <w:bookmarkEnd w:id="105"/>
    <w:bookmarkEnd w:id="106"/>
    <w:p w14:paraId="56FD6600">
      <w:pPr>
        <w:spacing w:line="360" w:lineRule="auto"/>
        <w:ind w:firstLine="420" w:firstLineChars="200"/>
        <w:rPr>
          <w:rFonts w:hint="eastAsia" w:ascii="宋体" w:hAnsi="宋体" w:eastAsia="宋体" w:cs="宋体"/>
          <w:bCs/>
          <w:color w:val="auto"/>
          <w:szCs w:val="21"/>
          <w:highlight w:val="none"/>
        </w:rPr>
      </w:pPr>
      <w:bookmarkStart w:id="107" w:name="_Toc513029238"/>
      <w:bookmarkStart w:id="108" w:name="_Toc16938554"/>
      <w:bookmarkStart w:id="109" w:name="_Toc20823310"/>
      <w:r>
        <w:rPr>
          <w:rFonts w:hint="eastAsia" w:ascii="宋体" w:hAnsi="宋体" w:eastAsia="宋体" w:cs="宋体"/>
          <w:bCs/>
          <w:color w:val="auto"/>
          <w:szCs w:val="21"/>
          <w:highlight w:val="none"/>
        </w:rPr>
        <w:t>28.1.6不符合招标文件中规定的其他实质性要求和条</w:t>
      </w:r>
      <w:r>
        <w:rPr>
          <w:rFonts w:hint="eastAsia" w:ascii="宋体" w:hAnsi="宋体" w:eastAsia="宋体" w:cs="宋体"/>
          <w:bCs/>
          <w:color w:val="auto"/>
          <w:szCs w:val="21"/>
          <w:highlight w:val="none"/>
        </w:rPr>
        <w:t>件的（</w:t>
      </w:r>
      <w:r>
        <w:rPr>
          <w:rFonts w:hint="eastAsia" w:ascii="宋体" w:hAnsi="宋体" w:eastAsia="宋体" w:cs="宋体"/>
          <w:bCs/>
          <w:i/>
          <w:color w:val="auto"/>
          <w:szCs w:val="21"/>
          <w:highlight w:val="none"/>
          <w:u w:val="single"/>
        </w:rPr>
        <w:t>本招标文件中斜体且有下划线部分为实质性要求和条件，包括但不限于该范围）；</w:t>
      </w:r>
    </w:p>
    <w:p w14:paraId="1CDEE61D">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28.1.7投标人被 “信用中国”网站（www.creditchina.gov.cn）、“中国政府采购网”(www.ccgp.gov.cn)列入失信被执行人或重大税收违法案件当事人名单或政府采购严重失信行为记录名单。</w:t>
      </w:r>
    </w:p>
    <w:p w14:paraId="21EF68C7">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28.1.8投标文件含有采购人不能接受的附加条件的。</w:t>
      </w:r>
    </w:p>
    <w:p w14:paraId="1A5CB640">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08A33F99">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28.1.10其他法律、法规及本招标文件规定的属无效投标的情形。</w:t>
      </w:r>
    </w:p>
    <w:p w14:paraId="4988B82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28.2废标条款：                                                                                                                                                                                                                                                                                                                                                                                                                                                                                                                                                                                                                                                                                                                                                                                                                                                                                                                                                                                                                                                                                                                                                                                                                                                                                                                                                                                                           </w:t>
      </w:r>
    </w:p>
    <w:p w14:paraId="5DE7B44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28.2.1符合专业条件的供应商或者对招标文件作实质响应的供应商不足三家的；</w:t>
      </w:r>
    </w:p>
    <w:p w14:paraId="147793E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28.2.2投标人的报价均超过采购预算或最高限价；</w:t>
      </w:r>
    </w:p>
    <w:p w14:paraId="29C0211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28.2.3出现影响采购公正的违法、违规行为的；</w:t>
      </w:r>
    </w:p>
    <w:p w14:paraId="1850919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28.2.4因重大变故，采购任务取消的；</w:t>
      </w:r>
    </w:p>
    <w:p w14:paraId="37B57CF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28.2.5评标委员会认定招标文件存在歧义、重大缺陷导致评审工作无法进行。</w:t>
      </w:r>
    </w:p>
    <w:p w14:paraId="222246F7">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28.3投标截止时间结束后参加投标的投标人不足三家或者通过资格审查或符合性审查的投标人不足三家的，除采购任务取消情形外，按照以下方式处理：</w:t>
      </w:r>
    </w:p>
    <w:p w14:paraId="5A8F2439">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28.3.1招标文件存在不合理条款或者招标程序不符合规定的，由采购人、代理机构改正后依法重新招标；</w:t>
      </w:r>
    </w:p>
    <w:p w14:paraId="6759A358">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28.3.2 招标文件没有不合理条款、招标程序符合规定，需要采用其他采购方式采购的，采购人应当依法报财政部门批准。</w:t>
      </w:r>
    </w:p>
    <w:p w14:paraId="77696EE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w:t>
      </w:r>
      <w:bookmarkEnd w:id="107"/>
      <w:r>
        <w:rPr>
          <w:rFonts w:hint="eastAsia" w:ascii="宋体" w:hAnsi="宋体" w:eastAsia="宋体" w:cs="宋体"/>
          <w:b/>
          <w:bCs/>
          <w:color w:val="auto"/>
          <w:szCs w:val="21"/>
          <w:highlight w:val="none"/>
        </w:rPr>
        <w:t>确定</w:t>
      </w:r>
      <w:bookmarkEnd w:id="108"/>
      <w:bookmarkEnd w:id="109"/>
      <w:r>
        <w:rPr>
          <w:rFonts w:hint="eastAsia" w:ascii="宋体" w:hAnsi="宋体" w:eastAsia="宋体" w:cs="宋体"/>
          <w:b/>
          <w:bCs/>
          <w:color w:val="auto"/>
          <w:szCs w:val="21"/>
          <w:highlight w:val="none"/>
        </w:rPr>
        <w:t>中标单位</w:t>
      </w:r>
    </w:p>
    <w:p w14:paraId="61950A6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29.1评委会根据本招标文件规定评标方法与评标标准向采购人推荐出中标候选人。</w:t>
      </w:r>
    </w:p>
    <w:p w14:paraId="11837AA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29.2 采购人应根据评委会推荐的中标候选人确定中标人。</w:t>
      </w:r>
    </w:p>
    <w:p w14:paraId="73DFC9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29.3</w:t>
      </w:r>
      <w:r>
        <w:rPr>
          <w:rFonts w:hint="eastAsia" w:ascii="宋体" w:hAnsi="宋体" w:eastAsia="宋体" w:cs="宋体"/>
          <w:color w:val="auto"/>
          <w:szCs w:val="21"/>
          <w:highlight w:val="none"/>
        </w:rPr>
        <w:t>代理机构将在“扬州市公共资源交易平台邗江分中心国企采购栏目”、“扬州维扬发展投资有限公司”网站发布中标公告，公告期限为1个工作日。</w:t>
      </w:r>
    </w:p>
    <w:p w14:paraId="049690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29.4若有充分证据证明，中标人出现下列情况之一的，一经查实，将被取消中标资格：</w:t>
      </w:r>
    </w:p>
    <w:p w14:paraId="390F0E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29.4.1提供虚假材料谋取中标的；</w:t>
      </w:r>
    </w:p>
    <w:p w14:paraId="293C70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29.4.2向采购人、代理机构行贿或者提供其他不正当利益的；</w:t>
      </w:r>
    </w:p>
    <w:p w14:paraId="401AEB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29.4.3恶意竞争，投标总报价明显低于其自身合理成本且又无法提供证明的；</w:t>
      </w:r>
    </w:p>
    <w:p w14:paraId="781947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29.4.4属于本文件规定的无效条件，但在评标过程中又未被评委会发现的；</w:t>
      </w:r>
    </w:p>
    <w:p w14:paraId="069178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29.4.5与采购人或者其他投标人串通投标的；</w:t>
      </w:r>
    </w:p>
    <w:p w14:paraId="6CAB86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29.4.6采取不正当手段诋毁、排挤其他供应商的；</w:t>
      </w:r>
    </w:p>
    <w:p w14:paraId="0D4B0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29.4.7不符合法律、法规的规定的。</w:t>
      </w:r>
      <w:bookmarkStart w:id="110" w:name="_Toc200451960"/>
    </w:p>
    <w:p w14:paraId="593171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 有下列情形之一的，视为投标人串通投标，投标无效：</w:t>
      </w:r>
    </w:p>
    <w:p w14:paraId="187860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29.5.1不同投标人的投标文件由同一单位或者个人编制。</w:t>
      </w:r>
    </w:p>
    <w:p w14:paraId="632C65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29.5.2不同投标人委托同一单位或者个人办理投标事宜。</w:t>
      </w:r>
    </w:p>
    <w:p w14:paraId="798EAB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29.5.3 不同投标人的投标文件载明的项目管理成员或者联系人员为同一人。</w:t>
      </w:r>
    </w:p>
    <w:p w14:paraId="7A11D7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29.5.4不同投标人的投标文件异常一致或者投标报价呈规律性差异。</w:t>
      </w:r>
    </w:p>
    <w:p w14:paraId="5768D3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29.5.5不同投标人的投标文件相互混装。</w:t>
      </w:r>
    </w:p>
    <w:bookmarkEnd w:id="110"/>
    <w:p w14:paraId="69F73AB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30、质疑处理</w:t>
      </w:r>
    </w:p>
    <w:p w14:paraId="48B46F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30.1投标人认为采购文件、采购过程和中标结果使自己的权益受到损害的，可以在知道或应知其权益受到损害之日起七个工作日内，以书面形式（原件送达）向代理机构或采购人提出质疑。</w:t>
      </w:r>
    </w:p>
    <w:p w14:paraId="74CF154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30.1.1对采购文件提出质疑的，应当在获取采购文件之日或者采购文件公告期限届满之日起7个工作日内提出；</w:t>
      </w:r>
    </w:p>
    <w:p w14:paraId="5A062636">
      <w:pPr>
        <w:spacing w:line="360" w:lineRule="auto"/>
        <w:ind w:firstLine="420" w:firstLineChars="200"/>
        <w:jc w:val="left"/>
        <w:rPr>
          <w:rFonts w:hint="eastAsia" w:ascii="宋体" w:hAnsi="宋体" w:eastAsia="宋体" w:cs="宋体"/>
          <w:color w:val="auto"/>
          <w:szCs w:val="21"/>
          <w:highlight w:val="none"/>
        </w:rPr>
      </w:pPr>
      <w:bookmarkStart w:id="111" w:name="_Toc16938553"/>
      <w:bookmarkStart w:id="112" w:name="_Toc513029237"/>
      <w:bookmarkStart w:id="113" w:name="_Toc20823309"/>
      <w:r>
        <w:rPr>
          <w:rFonts w:hint="eastAsia" w:ascii="宋体" w:hAnsi="宋体" w:eastAsia="宋体" w:cs="宋体"/>
          <w:color w:val="auto"/>
          <w:szCs w:val="21"/>
          <w:highlight w:val="none"/>
        </w:rPr>
        <w:t>30.1.2对采购过程提出质疑的，为各采购程序环节结束之日起7个工作日内提出；</w:t>
      </w:r>
    </w:p>
    <w:p w14:paraId="228D71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30.1.3对中标结果提出质疑的，为中标结果公告期限届满之日起7个工作日内提出。</w:t>
      </w:r>
    </w:p>
    <w:p w14:paraId="4F714EB9">
      <w:pPr>
        <w:pStyle w:val="47"/>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30.2供应商应在法定质疑期内一次性提出针对同一采购程序环节的质疑。质疑必须按相关规定提交。</w:t>
      </w:r>
    </w:p>
    <w:p w14:paraId="6C1A2E22">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30.3提出质疑的供应商（以下简称质疑供应商）应当是参与所质疑项目采购活动的供应商。</w:t>
      </w:r>
    </w:p>
    <w:p w14:paraId="47BD4D2F">
      <w:pPr>
        <w:pStyle w:val="47"/>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25DD1E1A">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30.4供应商提出质疑应当提交质疑函和必要的证明材料。质疑函应当包括下列内容：</w:t>
      </w:r>
    </w:p>
    <w:p w14:paraId="715166F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30.4.1供应商的姓名或者名称、地址、邮编、联系人及联系电话；</w:t>
      </w:r>
    </w:p>
    <w:p w14:paraId="3DBC38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30.4.2质疑项目的名称、编号；</w:t>
      </w:r>
    </w:p>
    <w:p w14:paraId="506585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30.4.3具体、明确的质疑事项和与质疑事项相关的请求；</w:t>
      </w:r>
    </w:p>
    <w:p w14:paraId="26E1EC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30.4.4事实依据；</w:t>
      </w:r>
    </w:p>
    <w:p w14:paraId="54DBF4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30.4.5必要的法律依据；</w:t>
      </w:r>
    </w:p>
    <w:p w14:paraId="07E6263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30.4.6提出质疑的日期。</w:t>
      </w:r>
    </w:p>
    <w:p w14:paraId="0A96C78A">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供应商为自然人的，应当由本人签字；供应商为法人或者其他组织的，应当由法定代表人、主要负责人，或者其授权代表签字或者盖章，并加盖公章。</w:t>
      </w:r>
    </w:p>
    <w:p w14:paraId="75308866">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30.5代理机构收到质疑申请后，将对质疑的形式和内容进行审查，如质疑内容、格式不符合规定，代理机构将告知质疑人进行补正。</w:t>
      </w:r>
    </w:p>
    <w:p w14:paraId="042AB95F">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30.6质疑人应当在法定质疑期限内进行补正并重新提交质疑函。</w:t>
      </w:r>
    </w:p>
    <w:p w14:paraId="18FA5B53">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30.7代理机构应当在收到投标供应商的书面质疑后七个工作日内作出答复，并以书面形式通知质疑供应商和其他有关供应商，但答复的内容不得涉及商业秘密。</w:t>
      </w:r>
    </w:p>
    <w:p w14:paraId="5DBB91CF">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 诚实信用</w:t>
      </w:r>
    </w:p>
    <w:p w14:paraId="0D1D7E88">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30.8.1 投标人之间不得相互串通投标报价，不得妨碍其他投标人的公平竞争，不得损害采购人和其他投标人的合法权益。</w:t>
      </w:r>
    </w:p>
    <w:p w14:paraId="096A25FB">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30.8.2 投标人不得以向代理机构工作人员、评标委员会成员行贿或者采取其他不正当手段谋取中标。经查实投标人有此行为的，相关管理部门将投标人列入不良行为记录名单，按照有关规定处理。</w:t>
      </w:r>
    </w:p>
    <w:p w14:paraId="3ADB2201">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30.8.3 投标人提出书面质疑必须有理、有据，不得虚假质疑和恶意质疑，并对质疑内容的真实性承担责任。一经查实，代理机构有权依据有关规定，报请监管部门对该投标人进行相应的行政处罚并在网站上予以公示。如果投标人或者其他利害关系人通过捏造事实、伪造证明材料等方式提出质疑，干扰采购活动正常进行的，属于严重不良行为，代理机构将提请监管部门将其列入不良行为记录名单，并依法予以处罚。</w:t>
      </w:r>
    </w:p>
    <w:p w14:paraId="473423FB">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30.8.4 投标人不得虚假承诺，否则，按照提供虚假材料谋取中标成交处理。</w:t>
      </w:r>
    </w:p>
    <w:p w14:paraId="3A7D1B6D">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30.8.5 投标人应自觉遵守开标、评标纪律，扰乱开标评标现场秩序的，属于失信行为，根据有关规定，失信行为将被记入投标人诚信档案。</w:t>
      </w:r>
    </w:p>
    <w:p w14:paraId="0B376E1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31、中标通知书</w:t>
      </w:r>
    </w:p>
    <w:p w14:paraId="73731D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中标结果确定后，代理机构将向中标供应商发出中标通知书。</w:t>
      </w:r>
    </w:p>
    <w:p w14:paraId="537D8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中标供应商收到中标通知书后，应签字确认中标通知书已收到。若无回复，则公告后视同中标供应商已经知悉并同意接受。</w:t>
      </w:r>
    </w:p>
    <w:p w14:paraId="7C683DC7">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14:paraId="47A1E6DA">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31.4所有投标文件都将作为档案保存，不论中标与否，代理机构均不退回。</w:t>
      </w:r>
    </w:p>
    <w:p w14:paraId="05328A3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32、签订合同</w:t>
      </w:r>
    </w:p>
    <w:p w14:paraId="313258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32</w:t>
      </w:r>
      <w:r>
        <w:rPr>
          <w:rFonts w:hint="eastAsia" w:ascii="宋体" w:hAnsi="宋体" w:eastAsia="宋体" w:cs="宋体"/>
          <w:color w:val="auto"/>
          <w:szCs w:val="21"/>
          <w:highlight w:val="none"/>
        </w:rPr>
        <w:t>.1中标供应商应按中标通知书规定的时间、地点，按照招标文件确定的事项与采购人签订采购合同，且不得迟于中标通知书发出之日起三十日，由此给采购人造成损失的，中标供应商还应承担赔偿责任。</w:t>
      </w:r>
    </w:p>
    <w:p w14:paraId="54BB82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招标文件、中标供应商的投标文件及招标过程中有关澄清、承诺文件均应作为合同附件。</w:t>
      </w:r>
    </w:p>
    <w:p w14:paraId="5CFC2F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签订合同后，</w:t>
      </w:r>
      <w:r>
        <w:rPr>
          <w:rFonts w:hint="eastAsia" w:ascii="宋体" w:hAnsi="宋体" w:eastAsia="宋体" w:cs="宋体"/>
          <w:i/>
          <w:color w:val="auto"/>
          <w:szCs w:val="21"/>
          <w:highlight w:val="none"/>
          <w:u w:val="single"/>
        </w:rPr>
        <w:t>中标供应商不得将中标服务进行转包</w:t>
      </w:r>
      <w:r>
        <w:rPr>
          <w:rFonts w:hint="eastAsia" w:ascii="宋体" w:hAnsi="宋体" w:eastAsia="宋体" w:cs="宋体"/>
          <w:color w:val="auto"/>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14:paraId="1D3CB9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14:paraId="132E9CE0">
      <w:pPr>
        <w:pStyle w:val="16"/>
        <w:spacing w:before="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r>
        <w:rPr>
          <w:rFonts w:hint="eastAsia" w:ascii="宋体" w:hAnsi="宋体" w:eastAsia="宋体" w:cs="宋体"/>
          <w:bCs/>
          <w:color w:val="auto"/>
          <w:sz w:val="21"/>
          <w:szCs w:val="21"/>
          <w:highlight w:val="none"/>
        </w:rPr>
        <w:t>履约保证金：</w:t>
      </w:r>
      <w:r>
        <w:rPr>
          <w:rFonts w:hint="eastAsia" w:ascii="宋体" w:hAnsi="宋体" w:eastAsia="宋体" w:cs="宋体"/>
          <w:color w:val="auto"/>
          <w:sz w:val="21"/>
          <w:szCs w:val="21"/>
          <w:highlight w:val="none"/>
        </w:rPr>
        <w:t>本项目不收取履约保证金。</w:t>
      </w:r>
    </w:p>
    <w:p w14:paraId="47CA6F8A">
      <w:pPr>
        <w:widowControl/>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FE6C198">
      <w:pPr>
        <w:spacing w:line="360" w:lineRule="auto"/>
        <w:ind w:firstLine="723" w:firstLineChars="200"/>
        <w:jc w:val="center"/>
        <w:outlineLvl w:val="9"/>
        <w:rPr>
          <w:rFonts w:hint="eastAsia" w:ascii="宋体" w:hAnsi="宋体" w:eastAsia="宋体" w:cs="宋体"/>
          <w:b/>
          <w:color w:val="auto"/>
          <w:sz w:val="36"/>
          <w:highlight w:val="none"/>
        </w:rPr>
      </w:pPr>
      <w:bookmarkStart w:id="114" w:name="_Toc29810"/>
    </w:p>
    <w:p w14:paraId="6F509622">
      <w:pPr>
        <w:spacing w:line="360" w:lineRule="auto"/>
        <w:ind w:firstLine="723" w:firstLineChars="200"/>
        <w:jc w:val="center"/>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第三章 合同条款及格式</w:t>
      </w:r>
      <w:bookmarkEnd w:id="114"/>
      <w:bookmarkStart w:id="115" w:name="_Toc351203632"/>
    </w:p>
    <w:bookmarkEnd w:id="115"/>
    <w:p w14:paraId="3210EBBC">
      <w:pPr>
        <w:rPr>
          <w:rFonts w:hint="eastAsia" w:ascii="宋体" w:hAnsi="宋体" w:eastAsia="宋体" w:cs="宋体"/>
          <w:color w:val="auto"/>
          <w:highlight w:val="none"/>
        </w:rPr>
      </w:pPr>
      <w:bookmarkStart w:id="116" w:name="_Toc17960"/>
    </w:p>
    <w:p w14:paraId="0C60C5A5">
      <w:pPr>
        <w:rPr>
          <w:rFonts w:hint="eastAsia" w:ascii="宋体" w:hAnsi="宋体" w:eastAsia="宋体" w:cs="宋体"/>
          <w:color w:val="auto"/>
          <w:highlight w:val="none"/>
        </w:rPr>
      </w:pPr>
    </w:p>
    <w:p w14:paraId="06262377">
      <w:pPr>
        <w:rPr>
          <w:rFonts w:hint="eastAsia" w:ascii="宋体" w:hAnsi="宋体" w:eastAsia="宋体" w:cs="宋体"/>
          <w:color w:val="auto"/>
          <w:highlight w:val="none"/>
        </w:rPr>
      </w:pPr>
    </w:p>
    <w:p w14:paraId="57D81F56">
      <w:pPr>
        <w:rPr>
          <w:rFonts w:hint="eastAsia" w:ascii="宋体" w:hAnsi="宋体" w:eastAsia="宋体" w:cs="宋体"/>
          <w:color w:val="auto"/>
          <w:sz w:val="52"/>
          <w:szCs w:val="52"/>
          <w:highlight w:val="none"/>
        </w:rPr>
      </w:pPr>
    </w:p>
    <w:p w14:paraId="1DA1FD2A">
      <w:pPr>
        <w:rPr>
          <w:rFonts w:hint="eastAsia" w:ascii="宋体" w:hAnsi="宋体" w:eastAsia="宋体" w:cs="宋体"/>
          <w:color w:val="auto"/>
          <w:sz w:val="52"/>
          <w:szCs w:val="52"/>
          <w:highlight w:val="none"/>
        </w:rPr>
      </w:pPr>
    </w:p>
    <w:p w14:paraId="2CDEA858">
      <w:pPr>
        <w:rPr>
          <w:rFonts w:hint="eastAsia" w:ascii="宋体" w:hAnsi="宋体" w:eastAsia="宋体" w:cs="宋体"/>
          <w:color w:val="auto"/>
          <w:sz w:val="52"/>
          <w:szCs w:val="52"/>
          <w:highlight w:val="none"/>
        </w:rPr>
      </w:pPr>
    </w:p>
    <w:p w14:paraId="5AFED7CA">
      <w:pPr>
        <w:widowControl w:val="0"/>
        <w:shd w:val="clear" w:color="auto" w:fill="auto"/>
        <w:spacing w:line="360" w:lineRule="auto"/>
        <w:ind w:firstLine="720"/>
        <w:jc w:val="center"/>
        <w:rPr>
          <w:rFonts w:hint="eastAsia" w:ascii="宋体" w:hAnsi="宋体" w:eastAsia="宋体" w:cs="宋体"/>
          <w:b/>
          <w:bCs/>
          <w:color w:val="auto"/>
          <w:kern w:val="2"/>
          <w:sz w:val="44"/>
          <w:szCs w:val="44"/>
          <w:highlight w:val="none"/>
          <w:lang w:val="en-US" w:eastAsia="zh-CN" w:bidi="ar-SA"/>
        </w:rPr>
      </w:pPr>
      <w:r>
        <w:rPr>
          <w:rFonts w:hint="eastAsia" w:ascii="宋体" w:hAnsi="宋体" w:eastAsia="宋体" w:cs="宋体"/>
          <w:b/>
          <w:bCs/>
          <w:color w:val="auto"/>
          <w:kern w:val="2"/>
          <w:sz w:val="44"/>
          <w:szCs w:val="44"/>
          <w:highlight w:val="none"/>
          <w:lang w:val="en-US" w:eastAsia="zh-CN" w:bidi="ar-SA"/>
        </w:rPr>
        <w:t>GZ627地块房地产开发项目策划服务（第一期）合同</w:t>
      </w:r>
    </w:p>
    <w:p w14:paraId="0763F409">
      <w:pPr>
        <w:rPr>
          <w:rFonts w:hint="eastAsia" w:ascii="宋体" w:hAnsi="宋体" w:eastAsia="宋体" w:cs="宋体"/>
          <w:color w:val="auto"/>
          <w:highlight w:val="none"/>
        </w:rPr>
      </w:pPr>
    </w:p>
    <w:p w14:paraId="7056DBA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C0AD87F">
      <w:pPr>
        <w:pStyle w:val="20"/>
        <w:spacing w:line="360" w:lineRule="auto"/>
        <w:ind w:firstLine="4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u w:color="000000"/>
          <w:lang w:val="zh-TW" w:eastAsia="zh-TW"/>
        </w:rPr>
        <w:t>策划服务合同书</w:t>
      </w:r>
    </w:p>
    <w:p w14:paraId="172028D3">
      <w:pPr>
        <w:pStyle w:val="16"/>
        <w:pageBreakBefore w:val="0"/>
        <w:kinsoku/>
        <w:wordWrap/>
        <w:overflowPunct/>
        <w:topLinePunct w:val="0"/>
        <w:autoSpaceDE/>
        <w:autoSpaceDN/>
        <w:bidi w:val="0"/>
        <w:adjustRightInd w:val="0"/>
        <w:snapToGrid w:val="0"/>
        <w:spacing w:after="0" w:line="360" w:lineRule="auto"/>
        <w:ind w:left="0" w:leftChars="0" w:right="0"/>
        <w:outlineLvl w:val="9"/>
        <w:rPr>
          <w:rFonts w:hint="eastAsia" w:ascii="宋体" w:hAnsi="宋体" w:eastAsia="宋体" w:cs="宋体"/>
          <w:color w:val="auto"/>
          <w:sz w:val="21"/>
          <w:szCs w:val="21"/>
          <w:highlight w:val="none"/>
        </w:rPr>
      </w:pPr>
    </w:p>
    <w:p w14:paraId="47CAF254">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kern w:val="2"/>
          <w:sz w:val="21"/>
          <w:szCs w:val="21"/>
          <w:highlight w:val="none"/>
          <w:u w:val="single"/>
        </w:rPr>
        <w:t xml:space="preserve"> 扬州锦毓置业有限公司  </w:t>
      </w:r>
    </w:p>
    <w:p w14:paraId="4FBF6BE3">
      <w:pPr>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7D9AC877">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color="000000"/>
          <w:lang w:val="zh-TW" w:eastAsia="zh-TW"/>
        </w:rPr>
        <w:t>甲乙双方经协商一致，根据《中国人民共和国广告法》、《中华人民共和国民法典》以及国家相关法律、法规，甲方委托乙方围绕甲方开发的</w:t>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u w:val="single" w:color="000000"/>
          <w:lang w:eastAsia="zh-CN"/>
        </w:rPr>
        <w:t>GZ627地块房地产开发</w:t>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u w:color="000000"/>
          <w:lang w:val="zh-TW" w:eastAsia="zh-TW"/>
        </w:rPr>
        <w:t>项目进行</w:t>
      </w:r>
      <w:r>
        <w:rPr>
          <w:rFonts w:hint="eastAsia" w:ascii="宋体" w:hAnsi="宋体" w:eastAsia="宋体" w:cs="宋体"/>
          <w:color w:val="auto"/>
          <w:sz w:val="21"/>
          <w:szCs w:val="21"/>
          <w:highlight w:val="none"/>
          <w:u w:color="000000"/>
        </w:rPr>
        <w:t>营销策略建议、</w:t>
      </w:r>
      <w:r>
        <w:rPr>
          <w:rFonts w:hint="eastAsia" w:ascii="宋体" w:hAnsi="宋体" w:eastAsia="宋体" w:cs="宋体"/>
          <w:color w:val="auto"/>
          <w:sz w:val="21"/>
          <w:szCs w:val="21"/>
          <w:highlight w:val="none"/>
          <w:u w:color="000000"/>
          <w:lang w:val="zh-TW" w:eastAsia="zh-TW"/>
        </w:rPr>
        <w:t>广告传播策划、广告创意及设计等</w:t>
      </w:r>
      <w:r>
        <w:rPr>
          <w:rFonts w:hint="eastAsia" w:ascii="宋体" w:hAnsi="宋体" w:eastAsia="宋体" w:cs="宋体"/>
          <w:color w:val="auto"/>
          <w:sz w:val="21"/>
          <w:szCs w:val="21"/>
          <w:highlight w:val="none"/>
          <w:u w:color="000000"/>
        </w:rPr>
        <w:t>营销策划</w:t>
      </w:r>
      <w:r>
        <w:rPr>
          <w:rFonts w:hint="eastAsia" w:ascii="宋体" w:hAnsi="宋体" w:eastAsia="宋体" w:cs="宋体"/>
          <w:color w:val="auto"/>
          <w:sz w:val="21"/>
          <w:szCs w:val="21"/>
          <w:highlight w:val="none"/>
          <w:u w:color="000000"/>
          <w:lang w:val="zh-TW" w:eastAsia="zh-TW"/>
        </w:rPr>
        <w:t>宣传推广</w:t>
      </w:r>
      <w:r>
        <w:rPr>
          <w:rFonts w:hint="eastAsia" w:ascii="宋体" w:hAnsi="宋体" w:eastAsia="宋体" w:cs="宋体"/>
          <w:color w:val="auto"/>
          <w:sz w:val="21"/>
          <w:szCs w:val="21"/>
          <w:highlight w:val="none"/>
          <w:u w:color="000000"/>
        </w:rPr>
        <w:t>（</w:t>
      </w:r>
      <w:r>
        <w:rPr>
          <w:rFonts w:hint="eastAsia" w:ascii="宋体" w:hAnsi="宋体" w:eastAsia="宋体" w:cs="宋体"/>
          <w:color w:val="auto"/>
          <w:sz w:val="21"/>
          <w:szCs w:val="21"/>
          <w:highlight w:val="none"/>
          <w:u w:color="000000"/>
          <w:lang w:val="zh-TW" w:eastAsia="zh-TW"/>
        </w:rPr>
        <w:t>以下称为服务</w:t>
      </w:r>
      <w:r>
        <w:rPr>
          <w:rFonts w:hint="eastAsia" w:ascii="宋体" w:hAnsi="宋体" w:eastAsia="宋体" w:cs="宋体"/>
          <w:color w:val="auto"/>
          <w:sz w:val="21"/>
          <w:szCs w:val="21"/>
          <w:highlight w:val="none"/>
          <w:u w:color="000000"/>
        </w:rPr>
        <w:t>)等</w:t>
      </w:r>
      <w:r>
        <w:rPr>
          <w:rFonts w:hint="eastAsia" w:ascii="宋体" w:hAnsi="宋体" w:eastAsia="宋体" w:cs="宋体"/>
          <w:color w:val="auto"/>
          <w:sz w:val="21"/>
          <w:szCs w:val="21"/>
          <w:highlight w:val="none"/>
          <w:u w:color="000000"/>
          <w:lang w:val="zh-TW" w:eastAsia="zh-TW"/>
        </w:rPr>
        <w:t>事宜，达成如下合同条款</w:t>
      </w:r>
      <w:r>
        <w:rPr>
          <w:rFonts w:hint="eastAsia" w:ascii="宋体" w:hAnsi="宋体" w:eastAsia="宋体" w:cs="宋体"/>
          <w:color w:val="auto"/>
          <w:sz w:val="21"/>
          <w:szCs w:val="21"/>
          <w:highlight w:val="none"/>
          <w:u w:color="000000"/>
        </w:rPr>
        <w:t>:</w:t>
      </w:r>
    </w:p>
    <w:p w14:paraId="360977BD">
      <w:pPr>
        <w:pStyle w:val="149"/>
        <w:pageBreakBefore w:val="0"/>
        <w:framePr w:wrap="around"/>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rPr>
      </w:pPr>
    </w:p>
    <w:p w14:paraId="244366E7">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rPr>
      </w:pPr>
      <w:r>
        <w:rPr>
          <w:rFonts w:hint="eastAsia" w:ascii="宋体" w:hAnsi="宋体" w:eastAsia="宋体" w:cs="宋体"/>
          <w:b/>
          <w:bCs/>
          <w:color w:val="auto"/>
          <w:sz w:val="21"/>
          <w:szCs w:val="21"/>
          <w:highlight w:val="none"/>
          <w:lang w:val="zh-TW" w:eastAsia="zh-TW"/>
        </w:rPr>
        <w:t>一、服务范围</w:t>
      </w:r>
    </w:p>
    <w:p w14:paraId="48CF6C35">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CN"/>
        </w:rPr>
      </w:pPr>
      <w:r>
        <w:rPr>
          <w:rFonts w:hint="eastAsia" w:ascii="宋体" w:hAnsi="宋体" w:eastAsia="宋体" w:cs="宋体"/>
          <w:color w:val="auto"/>
          <w:sz w:val="21"/>
          <w:szCs w:val="21"/>
          <w:highlight w:val="none"/>
          <w:u w:color="000000"/>
          <w:lang w:val="zh-TW" w:eastAsia="zh-TW"/>
        </w:rPr>
        <w:t>甲方委托乙方为</w:t>
      </w:r>
      <w:r>
        <w:rPr>
          <w:rFonts w:hint="eastAsia" w:ascii="宋体" w:hAnsi="宋体" w:eastAsia="宋体" w:cs="宋体"/>
          <w:color w:val="auto"/>
          <w:sz w:val="21"/>
          <w:szCs w:val="21"/>
          <w:highlight w:val="none"/>
          <w:u w:val="single"/>
          <w:lang w:val="zh-TW"/>
        </w:rPr>
        <w:t xml:space="preserve"> </w:t>
      </w:r>
      <w:r>
        <w:rPr>
          <w:rFonts w:hint="eastAsia" w:ascii="宋体" w:hAnsi="宋体" w:eastAsia="宋体" w:cs="宋体"/>
          <w:color w:val="auto"/>
          <w:sz w:val="21"/>
          <w:szCs w:val="21"/>
          <w:highlight w:val="none"/>
          <w:u w:val="single" w:color="000000"/>
          <w:lang w:eastAsia="zh-CN"/>
        </w:rPr>
        <w:t>GZ627地块房地产开发</w:t>
      </w:r>
      <w:r>
        <w:rPr>
          <w:rFonts w:hint="eastAsia" w:ascii="宋体" w:hAnsi="宋体" w:eastAsia="宋体" w:cs="宋体"/>
          <w:color w:val="auto"/>
          <w:sz w:val="21"/>
          <w:szCs w:val="21"/>
          <w:highlight w:val="none"/>
          <w:u w:val="single"/>
          <w:lang w:val="zh-TW"/>
        </w:rPr>
        <w:t xml:space="preserve"> </w:t>
      </w:r>
      <w:r>
        <w:rPr>
          <w:rFonts w:hint="eastAsia" w:ascii="宋体" w:hAnsi="宋体" w:eastAsia="宋体" w:cs="宋体"/>
          <w:color w:val="auto"/>
          <w:sz w:val="21"/>
          <w:szCs w:val="21"/>
          <w:highlight w:val="none"/>
          <w:u w:color="000000"/>
          <w:lang w:val="zh-TW" w:eastAsia="zh-TW"/>
        </w:rPr>
        <w:t>项目</w:t>
      </w:r>
      <w:r>
        <w:rPr>
          <w:rFonts w:hint="eastAsia" w:ascii="宋体" w:hAnsi="宋体" w:eastAsia="宋体" w:cs="宋体"/>
          <w:color w:val="auto"/>
          <w:sz w:val="21"/>
          <w:szCs w:val="21"/>
          <w:highlight w:val="none"/>
          <w:u w:color="000000"/>
          <w:lang w:val="zh-TW"/>
        </w:rPr>
        <w:t>（</w:t>
      </w:r>
      <w:r>
        <w:rPr>
          <w:rFonts w:hint="eastAsia" w:ascii="宋体" w:hAnsi="宋体" w:eastAsia="宋体" w:cs="宋体"/>
          <w:color w:val="auto"/>
          <w:sz w:val="21"/>
          <w:szCs w:val="21"/>
          <w:highlight w:val="none"/>
          <w:u w:color="000000"/>
          <w:lang w:val="zh-TW" w:eastAsia="zh-TW"/>
        </w:rPr>
        <w:t>以下简称项目)进行</w:t>
      </w:r>
      <w:r>
        <w:rPr>
          <w:rFonts w:hint="eastAsia" w:ascii="宋体" w:hAnsi="宋体" w:eastAsia="宋体" w:cs="宋体"/>
          <w:color w:val="auto"/>
          <w:sz w:val="21"/>
          <w:szCs w:val="21"/>
          <w:highlight w:val="none"/>
          <w:u w:color="000000"/>
        </w:rPr>
        <w:t>营销策略和推广顾问，</w:t>
      </w:r>
      <w:r>
        <w:rPr>
          <w:rFonts w:hint="eastAsia" w:ascii="宋体" w:hAnsi="宋体" w:eastAsia="宋体" w:cs="宋体"/>
          <w:color w:val="auto"/>
          <w:sz w:val="21"/>
          <w:szCs w:val="21"/>
          <w:highlight w:val="none"/>
          <w:u w:color="000000"/>
          <w:lang w:val="zh-TW" w:eastAsia="zh-TW"/>
        </w:rPr>
        <w:t>负责本项目的</w:t>
      </w:r>
      <w:r>
        <w:rPr>
          <w:rFonts w:hint="eastAsia" w:ascii="宋体" w:hAnsi="宋体" w:eastAsia="宋体" w:cs="宋体"/>
          <w:color w:val="auto"/>
          <w:sz w:val="21"/>
          <w:szCs w:val="21"/>
          <w:highlight w:val="none"/>
          <w:u w:color="000000"/>
        </w:rPr>
        <w:t>营销策略建议、</w:t>
      </w:r>
      <w:r>
        <w:rPr>
          <w:rFonts w:hint="eastAsia" w:ascii="宋体" w:hAnsi="宋体" w:eastAsia="宋体" w:cs="宋体"/>
          <w:color w:val="auto"/>
          <w:sz w:val="21"/>
          <w:szCs w:val="21"/>
          <w:highlight w:val="none"/>
          <w:u w:color="000000"/>
          <w:lang w:val="zh-TW" w:eastAsia="zh-TW"/>
        </w:rPr>
        <w:t>广告策略、创意、设计以及对第三方监控等服务事宜</w:t>
      </w:r>
      <w:r>
        <w:rPr>
          <w:rFonts w:hint="eastAsia" w:ascii="宋体" w:hAnsi="宋体" w:eastAsia="宋体" w:cs="宋体"/>
          <w:color w:val="auto"/>
          <w:sz w:val="21"/>
          <w:szCs w:val="21"/>
          <w:highlight w:val="none"/>
          <w:u w:color="000000"/>
          <w:lang w:val="zh-TW" w:eastAsia="zh-CN"/>
        </w:rPr>
        <w:t>。</w:t>
      </w:r>
    </w:p>
    <w:p w14:paraId="5877013F">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rPr>
      </w:pPr>
      <w:r>
        <w:rPr>
          <w:rFonts w:hint="eastAsia" w:ascii="宋体" w:hAnsi="宋体" w:eastAsia="宋体" w:cs="宋体"/>
          <w:b/>
          <w:bCs/>
          <w:color w:val="auto"/>
          <w:sz w:val="21"/>
          <w:szCs w:val="21"/>
          <w:highlight w:val="none"/>
          <w:lang w:val="zh-TW" w:eastAsia="zh-TW"/>
        </w:rPr>
        <w:t>二、服务期限及相关说明</w:t>
      </w:r>
    </w:p>
    <w:p w14:paraId="6877BF7A">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rPr>
      </w:pPr>
      <w:r>
        <w:rPr>
          <w:rFonts w:hint="eastAsia" w:ascii="宋体" w:hAnsi="宋体" w:eastAsia="宋体" w:cs="宋体"/>
          <w:color w:val="auto"/>
          <w:sz w:val="21"/>
          <w:szCs w:val="21"/>
          <w:highlight w:val="none"/>
          <w:u w:color="000000"/>
        </w:rPr>
        <w:t>双方合作服务期限为12个月（</w:t>
      </w:r>
      <w:r>
        <w:rPr>
          <w:rFonts w:hint="eastAsia" w:ascii="宋体" w:hAnsi="宋体" w:eastAsia="宋体" w:cs="宋体"/>
          <w:color w:val="auto"/>
          <w:sz w:val="21"/>
          <w:szCs w:val="21"/>
          <w:highlight w:val="none"/>
          <w:u w:color="000000"/>
          <w:lang w:eastAsia="zh-CN"/>
        </w:rPr>
        <w:t>自甲方书面通知进场</w:t>
      </w:r>
      <w:r>
        <w:rPr>
          <w:rFonts w:hint="eastAsia" w:ascii="宋体" w:hAnsi="宋体" w:eastAsia="宋体" w:cs="宋体"/>
          <w:color w:val="auto"/>
          <w:sz w:val="21"/>
          <w:szCs w:val="21"/>
          <w:highlight w:val="none"/>
          <w:u w:color="000000"/>
          <w:lang w:val="en-US" w:eastAsia="zh-CN"/>
        </w:rPr>
        <w:t>之日起算</w:t>
      </w:r>
      <w:r>
        <w:rPr>
          <w:rFonts w:hint="eastAsia" w:ascii="宋体" w:hAnsi="宋体" w:eastAsia="宋体" w:cs="宋体"/>
          <w:color w:val="auto"/>
          <w:sz w:val="21"/>
          <w:szCs w:val="21"/>
          <w:highlight w:val="none"/>
          <w:u w:color="000000"/>
        </w:rPr>
        <w:t>）</w:t>
      </w:r>
      <w:r>
        <w:rPr>
          <w:rFonts w:hint="eastAsia" w:ascii="宋体" w:hAnsi="宋体" w:eastAsia="宋体" w:cs="宋体"/>
          <w:color w:val="auto"/>
          <w:sz w:val="21"/>
          <w:szCs w:val="21"/>
          <w:highlight w:val="none"/>
          <w:u w:color="000000"/>
        </w:rPr>
        <w:t>。合同履约过程中如遇甲方通知暂停服务、直至甲方通知恢复服务期间不计服务费用；因</w:t>
      </w:r>
      <w:r>
        <w:rPr>
          <w:rFonts w:hint="eastAsia" w:ascii="宋体" w:hAnsi="宋体" w:eastAsia="宋体" w:cs="宋体"/>
          <w:color w:val="auto"/>
          <w:sz w:val="21"/>
          <w:szCs w:val="21"/>
          <w:highlight w:val="none"/>
          <w:u w:color="000000"/>
          <w:lang w:val="en-US" w:eastAsia="zh-CN"/>
        </w:rPr>
        <w:t>本合同</w:t>
      </w:r>
      <w:r>
        <w:rPr>
          <w:rFonts w:hint="eastAsia" w:ascii="宋体" w:hAnsi="宋体" w:eastAsia="宋体" w:cs="宋体"/>
          <w:color w:val="auto"/>
          <w:sz w:val="21"/>
          <w:szCs w:val="21"/>
          <w:highlight w:val="none"/>
          <w:u w:color="000000"/>
        </w:rPr>
        <w:t>第十条第二款之约定而导致提前解除服务合同的，则根据实际履行的服务时间及考核办法按实结算服务费用。</w:t>
      </w:r>
    </w:p>
    <w:p w14:paraId="54F9933F">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三、服务内容</w:t>
      </w:r>
    </w:p>
    <w:p w14:paraId="0F375308">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rPr>
      </w:pPr>
      <w:r>
        <w:rPr>
          <w:rFonts w:hint="eastAsia" w:ascii="宋体" w:hAnsi="宋体" w:eastAsia="宋体" w:cs="宋体"/>
          <w:color w:val="auto"/>
          <w:sz w:val="21"/>
          <w:szCs w:val="21"/>
          <w:highlight w:val="none"/>
          <w:u w:color="000000"/>
          <w:lang w:val="zh-TW"/>
        </w:rPr>
        <w:t>1.常规性工作，具体内容为乙方围绕甲方在项目不同阶段制定系统营销推广计划并在服务期内开展广告服务工作，同时包含微信公众号维护及技术支持。乙方应于服务期内每月月底前或双方协商的要求时间内提交月度常规性工作计划，乙方应根据甲方下达的工作任务为甲方提供服务。</w:t>
      </w:r>
    </w:p>
    <w:p w14:paraId="675A2282">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2</w:t>
      </w:r>
      <w:r>
        <w:rPr>
          <w:rFonts w:hint="eastAsia" w:ascii="宋体" w:hAnsi="宋体" w:eastAsia="宋体" w:cs="宋体"/>
          <w:color w:val="auto"/>
          <w:sz w:val="21"/>
          <w:szCs w:val="21"/>
          <w:highlight w:val="none"/>
          <w:u w:color="000000"/>
          <w:lang w:val="zh-TW" w:eastAsia="zh-TW"/>
        </w:rPr>
        <w:t>.由甲方提供客群资料，由乙方负责进行客群心理分析并出分析报告。</w:t>
      </w:r>
    </w:p>
    <w:p w14:paraId="07EAC386">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3</w:t>
      </w:r>
      <w:r>
        <w:rPr>
          <w:rFonts w:hint="eastAsia" w:ascii="宋体" w:hAnsi="宋体" w:eastAsia="宋体" w:cs="宋体"/>
          <w:color w:val="auto"/>
          <w:sz w:val="21"/>
          <w:szCs w:val="21"/>
          <w:highlight w:val="none"/>
          <w:u w:color="000000"/>
          <w:lang w:val="zh-TW" w:eastAsia="zh-TW"/>
        </w:rPr>
        <w:t>.项目整合传播的总体策划思路及阶段性具体操作方案，包括但是不限于以下内容：</w:t>
      </w:r>
    </w:p>
    <w:p w14:paraId="79F3B0B3">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（1）分析项目自身特点，结合市场状况，给项目、客户以及产品进行定位；</w:t>
      </w:r>
    </w:p>
    <w:p w14:paraId="14CECBD9">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（2）整合楼盘优势资源，价值体系梳理与创造、宣传核心及调性；</w:t>
      </w:r>
    </w:p>
    <w:p w14:paraId="5C6F1162">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（3）按月度提供营销策略、宣传推广的总体策划思路，销售策略、销售周期分析及建议；</w:t>
      </w:r>
    </w:p>
    <w:p w14:paraId="2BFAB65E">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（4）结合市场状况和目标受众的特点，提供具体广告操作方案；</w:t>
      </w:r>
    </w:p>
    <w:p w14:paraId="4C32FEDA">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（5）提供阶段性创意策略组合建议；</w:t>
      </w:r>
    </w:p>
    <w:p w14:paraId="5B67CEB4">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6）基础系统设计，包含但不限于案名提报、LOGO建议及设计、VI设计及演绎、项目标志设计、中英文标准字体、标准组合、印刷字体、辅助图形、项目标准色样本、项目标准字体样本、项目标准组合样本、象征图形与吉祥物等；</w:t>
      </w:r>
    </w:p>
    <w:p w14:paraId="3871C39B">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（7）平面广告创意、设计，撰写缮稿；</w:t>
      </w:r>
    </w:p>
    <w:p w14:paraId="7F69E094">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（8）楼书、宣传单张、折页、展板、吊旗、刀旗及其他宣传品等创意、撰文、设计等事宜；</w:t>
      </w:r>
    </w:p>
    <w:p w14:paraId="1BD994B7">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（9）售楼部内外部阵地包装建议方案；</w:t>
      </w:r>
    </w:p>
    <w:p w14:paraId="052AE935">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（10）广播、影视广告：创意、撰文、制作监控；</w:t>
      </w:r>
    </w:p>
    <w:p w14:paraId="5A41369F">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（11）户外广告（含车身广告等）创意、撰文、设计等事宜；</w:t>
      </w:r>
    </w:p>
    <w:p w14:paraId="12D95D96">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（12）网络电子媒体广告的创意、撰文、制作监控；</w:t>
      </w:r>
    </w:p>
    <w:p w14:paraId="37E80594">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（13）负责与甲方合作的第三方的广告策划、设计方案的监控；</w:t>
      </w:r>
    </w:p>
    <w:p w14:paraId="5B2AE08C">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（14）新媒体推广策略，微信公众号的搭建以及运营；</w:t>
      </w:r>
    </w:p>
    <w:p w14:paraId="16F53646">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CN"/>
        </w:rPr>
      </w:pPr>
      <w:r>
        <w:rPr>
          <w:rFonts w:hint="eastAsia" w:ascii="宋体" w:hAnsi="宋体" w:eastAsia="宋体" w:cs="宋体"/>
          <w:color w:val="auto"/>
          <w:sz w:val="21"/>
          <w:szCs w:val="21"/>
          <w:highlight w:val="none"/>
          <w:u w:color="000000"/>
          <w:lang w:val="zh-TW" w:eastAsia="zh-TW"/>
        </w:rPr>
        <w:t>（15）公关活动建议及物料设计</w:t>
      </w:r>
      <w:r>
        <w:rPr>
          <w:rFonts w:hint="eastAsia" w:ascii="宋体" w:hAnsi="宋体" w:eastAsia="宋体" w:cs="宋体"/>
          <w:color w:val="auto"/>
          <w:sz w:val="21"/>
          <w:szCs w:val="21"/>
          <w:highlight w:val="none"/>
          <w:u w:color="000000"/>
          <w:lang w:val="zh-TW" w:eastAsia="zh-CN"/>
        </w:rPr>
        <w:t>；</w:t>
      </w:r>
    </w:p>
    <w:p w14:paraId="582FE5FB">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（16）</w:t>
      </w:r>
      <w:r>
        <w:rPr>
          <w:rFonts w:hint="eastAsia" w:hAnsi="宋体" w:cs="宋体"/>
          <w:color w:val="auto"/>
          <w:sz w:val="21"/>
          <w:szCs w:val="21"/>
          <w:highlight w:val="none"/>
          <w:u w:color="000000"/>
          <w:lang w:val="zh-TW" w:eastAsia="zh-CN"/>
        </w:rPr>
        <w:t>企业</w:t>
      </w:r>
      <w:r>
        <w:rPr>
          <w:rFonts w:hint="eastAsia" w:ascii="宋体" w:hAnsi="宋体" w:eastAsia="宋体" w:cs="宋体"/>
          <w:color w:val="auto"/>
          <w:sz w:val="21"/>
          <w:szCs w:val="21"/>
          <w:highlight w:val="none"/>
          <w:u w:color="000000"/>
          <w:lang w:val="zh-TW" w:eastAsia="zh-TW"/>
        </w:rPr>
        <w:t>品牌的宣传（包括但不限于企业品牌定位、品牌战略、结合项目的品牌推广全案等方面）；</w:t>
      </w:r>
    </w:p>
    <w:p w14:paraId="4096C41F">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（17）微信H5制作、微信笔记制作、项目PPT模板制作。</w:t>
      </w:r>
    </w:p>
    <w:p w14:paraId="72EEAF5A">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注：以上服务的工作内容若实际发生变化的以甲方确认的实际工作规划为准。</w:t>
      </w:r>
    </w:p>
    <w:p w14:paraId="05B14430">
      <w:pPr>
        <w:pStyle w:val="149"/>
        <w:pageBreakBefore w:val="0"/>
        <w:framePr w:wrap="auto" w:vAnchor="margin" w:hAnchor="text" w:yAlign="inline"/>
        <w:tabs>
          <w:tab w:val="left" w:pos="665"/>
        </w:tabs>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val="zh-TW"/>
        </w:rPr>
        <w:t>4.</w:t>
      </w:r>
      <w:r>
        <w:rPr>
          <w:rFonts w:hint="eastAsia" w:ascii="宋体" w:hAnsi="宋体" w:eastAsia="宋体" w:cs="宋体"/>
          <w:color w:val="auto"/>
          <w:sz w:val="21"/>
          <w:szCs w:val="21"/>
          <w:highlight w:val="none"/>
          <w:lang w:val="zh-TW" w:eastAsia="zh-TW"/>
        </w:rPr>
        <w:t>整合传播策划及服务需提交的文本内容</w:t>
      </w:r>
    </w:p>
    <w:p w14:paraId="7C919BD5">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w:t>
      </w:r>
      <w:r>
        <w:rPr>
          <w:rFonts w:hint="eastAsia" w:hAnsi="宋体" w:cs="宋体"/>
          <w:color w:val="auto"/>
          <w:sz w:val="21"/>
          <w:szCs w:val="21"/>
          <w:highlight w:val="none"/>
          <w:u w:color="000000"/>
          <w:lang w:val="zh-TW" w:eastAsia="zh-CN"/>
        </w:rPr>
        <w:t>企业</w:t>
      </w:r>
      <w:r>
        <w:rPr>
          <w:rFonts w:hint="eastAsia" w:ascii="宋体" w:hAnsi="宋体" w:eastAsia="宋体" w:cs="宋体"/>
          <w:color w:val="auto"/>
          <w:sz w:val="21"/>
          <w:szCs w:val="21"/>
          <w:highlight w:val="none"/>
          <w:u w:color="000000"/>
          <w:lang w:val="zh-TW" w:eastAsia="zh-TW"/>
        </w:rPr>
        <w:t>品宣计划；</w:t>
      </w:r>
    </w:p>
    <w:p w14:paraId="791435A2">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（2）项目的整体营销、推广策略</w:t>
      </w:r>
    </w:p>
    <w:p w14:paraId="175A806A">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（3）项目的广告媒介投放建议；</w:t>
      </w:r>
    </w:p>
    <w:p w14:paraId="0B37552E">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（4）项目的市场分析；</w:t>
      </w:r>
    </w:p>
    <w:p w14:paraId="5AC264E3">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rPr>
        <w:t>项目的</w:t>
      </w:r>
      <w:r>
        <w:rPr>
          <w:rFonts w:hint="eastAsia" w:ascii="宋体" w:hAnsi="宋体" w:eastAsia="宋体" w:cs="宋体"/>
          <w:color w:val="auto"/>
          <w:sz w:val="21"/>
          <w:szCs w:val="21"/>
          <w:highlight w:val="none"/>
          <w:lang w:val="zh-TW" w:eastAsia="zh-TW"/>
        </w:rPr>
        <w:t>各项传播活动建议</w:t>
      </w:r>
      <w:r>
        <w:rPr>
          <w:rFonts w:hint="eastAsia" w:ascii="宋体" w:hAnsi="宋体" w:eastAsia="宋体" w:cs="宋体"/>
          <w:color w:val="auto"/>
          <w:sz w:val="21"/>
          <w:szCs w:val="21"/>
          <w:highlight w:val="none"/>
          <w:lang w:val="zh-TW"/>
        </w:rPr>
        <w:t>。</w:t>
      </w:r>
    </w:p>
    <w:p w14:paraId="6EA54914">
      <w:pPr>
        <w:pStyle w:val="149"/>
        <w:pageBreakBefore w:val="0"/>
        <w:framePr w:wrap="auto" w:vAnchor="margin" w:hAnchor="text" w:yAlign="inline"/>
        <w:tabs>
          <w:tab w:val="left" w:pos="665"/>
        </w:tabs>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甲方交代的其他工作内容</w:t>
      </w:r>
      <w:r>
        <w:rPr>
          <w:rFonts w:hint="eastAsia" w:ascii="宋体" w:hAnsi="宋体" w:eastAsia="宋体" w:cs="宋体"/>
          <w:color w:val="auto"/>
          <w:sz w:val="21"/>
          <w:szCs w:val="21"/>
          <w:highlight w:val="none"/>
        </w:rPr>
        <w:t>。</w:t>
      </w:r>
    </w:p>
    <w:p w14:paraId="55F184B1">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四、广告运作规则</w:t>
      </w:r>
    </w:p>
    <w:p w14:paraId="2D7C6107">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1</w:t>
      </w:r>
      <w:r>
        <w:rPr>
          <w:rFonts w:hint="eastAsia" w:ascii="宋体" w:hAnsi="宋体" w:eastAsia="宋体" w:cs="宋体"/>
          <w:color w:val="auto"/>
          <w:sz w:val="21"/>
          <w:szCs w:val="21"/>
          <w:highlight w:val="none"/>
          <w:u w:color="000000"/>
          <w:lang w:val="zh-TW" w:eastAsia="zh-TW"/>
        </w:rPr>
        <w:t>.甲方以书面方式委托乙方提供第三条所列服务内容，具体服务内容、期限、质量要求明确，乙方应当按照甲方的要求提供服务。</w:t>
      </w:r>
    </w:p>
    <w:p w14:paraId="17A32482">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2</w:t>
      </w:r>
      <w:r>
        <w:rPr>
          <w:rFonts w:hint="eastAsia" w:ascii="宋体" w:hAnsi="宋体" w:eastAsia="宋体" w:cs="宋体"/>
          <w:color w:val="auto"/>
          <w:sz w:val="21"/>
          <w:szCs w:val="21"/>
          <w:highlight w:val="none"/>
          <w:u w:color="000000"/>
          <w:lang w:val="zh-TW" w:eastAsia="zh-TW"/>
        </w:rPr>
        <w:t>.严格按照规范的广告策划流程进行。为配合市场变化，甲方可提出修改调整策划方案。乙方在接到甲方通知后于双方约定的时间内提交修改好的策划方案。</w:t>
      </w:r>
    </w:p>
    <w:p w14:paraId="68BC5655">
      <w:pPr>
        <w:pageBreakBefore w:val="0"/>
        <w:kinsoku/>
        <w:wordWrap/>
        <w:overflowPunct/>
        <w:topLinePunct w:val="0"/>
        <w:autoSpaceDE/>
        <w:autoSpaceDN/>
        <w:bidi w:val="0"/>
        <w:adjustRightInd w:val="0"/>
        <w:snapToGrid w:val="0"/>
        <w:spacing w:line="360" w:lineRule="auto"/>
        <w:ind w:left="0" w:leftChars="0" w:right="0" w:firstLine="420" w:firstLineChars="200"/>
        <w:textAlignment w:val="baseline"/>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rPr>
        <w:t>3</w:t>
      </w:r>
      <w:r>
        <w:rPr>
          <w:rFonts w:hint="eastAsia" w:ascii="宋体" w:hAnsi="宋体" w:eastAsia="宋体" w:cs="宋体"/>
          <w:color w:val="auto"/>
          <w:sz w:val="21"/>
          <w:szCs w:val="21"/>
          <w:highlight w:val="none"/>
          <w:u w:color="000000"/>
          <w:lang w:val="zh-TW" w:eastAsia="zh-TW"/>
        </w:rPr>
        <w:t>.乙方应就甲方委托的项目广告代理成立专项服务小组（见附件</w:t>
      </w:r>
      <w:r>
        <w:rPr>
          <w:rFonts w:hint="eastAsia" w:ascii="宋体" w:hAnsi="宋体" w:eastAsia="宋体" w:cs="宋体"/>
          <w:color w:val="auto"/>
          <w:sz w:val="21"/>
          <w:szCs w:val="21"/>
          <w:highlight w:val="none"/>
          <w:u w:color="000000"/>
          <w:lang w:val="zh-TW"/>
        </w:rPr>
        <w:t>1</w:t>
      </w:r>
      <w:r>
        <w:rPr>
          <w:rFonts w:hint="eastAsia" w:ascii="宋体" w:hAnsi="宋体" w:eastAsia="宋体" w:cs="宋体"/>
          <w:color w:val="auto"/>
          <w:sz w:val="21"/>
          <w:szCs w:val="21"/>
          <w:highlight w:val="none"/>
          <w:u w:color="000000"/>
          <w:lang w:val="zh-TW" w:eastAsia="zh-TW"/>
        </w:rPr>
        <w:t>）</w:t>
      </w:r>
      <w:r>
        <w:rPr>
          <w:rFonts w:hint="eastAsia" w:ascii="宋体" w:hAnsi="宋体" w:eastAsia="宋体" w:cs="宋体"/>
          <w:color w:val="auto"/>
          <w:kern w:val="0"/>
          <w:sz w:val="21"/>
          <w:szCs w:val="21"/>
          <w:highlight w:val="none"/>
          <w:u w:color="000000"/>
          <w:lang w:val="zh-TW" w:eastAsia="zh-TW"/>
        </w:rPr>
        <w:t>，</w:t>
      </w:r>
      <w:r>
        <w:rPr>
          <w:rFonts w:hint="eastAsia" w:ascii="宋体" w:hAnsi="宋体" w:eastAsia="宋体" w:cs="宋体"/>
          <w:b/>
          <w:bCs/>
          <w:color w:val="auto"/>
          <w:kern w:val="0"/>
          <w:sz w:val="21"/>
          <w:szCs w:val="21"/>
          <w:highlight w:val="none"/>
          <w:u w:color="000000"/>
          <w:lang w:val="zh-TW" w:eastAsia="zh-TW"/>
        </w:rPr>
        <w:t>服务于本项目的项目组人员必须包括后台营销总监，策划总监，高级平面设计师，高级文案，项目策划经理。</w:t>
      </w:r>
      <w:r>
        <w:rPr>
          <w:rFonts w:hint="eastAsia" w:ascii="宋体" w:hAnsi="宋体" w:eastAsia="宋体" w:cs="宋体"/>
          <w:color w:val="auto"/>
          <w:kern w:val="0"/>
          <w:sz w:val="21"/>
          <w:szCs w:val="21"/>
          <w:highlight w:val="none"/>
          <w:u w:color="000000"/>
          <w:lang w:val="zh-TW" w:eastAsia="zh-TW"/>
        </w:rPr>
        <w:t>上述人</w:t>
      </w:r>
      <w:r>
        <w:rPr>
          <w:rFonts w:hint="eastAsia" w:ascii="宋体" w:hAnsi="宋体" w:eastAsia="宋体" w:cs="宋体"/>
          <w:color w:val="auto"/>
          <w:sz w:val="21"/>
          <w:szCs w:val="21"/>
          <w:highlight w:val="none"/>
          <w:u w:color="000000"/>
          <w:lang w:val="zh-TW" w:eastAsia="zh-TW"/>
        </w:rPr>
        <w:t>员均需具有连续三年以上从事房地产营销策划一线工作经验，驻场策划经理应具有三年以上同类楼盘策划经验，提供证明材料。该小组主要执行成员每周至少参加一次项目现场例会，</w:t>
      </w:r>
      <w:r>
        <w:rPr>
          <w:rFonts w:hint="eastAsia" w:ascii="宋体" w:hAnsi="宋体" w:eastAsia="宋体" w:cs="宋体"/>
          <w:color w:val="auto"/>
          <w:sz w:val="21"/>
          <w:szCs w:val="21"/>
          <w:highlight w:val="none"/>
          <w:u w:color="000000"/>
        </w:rPr>
        <w:t>在服务期间需要驻场一名专职策划（非AE），</w:t>
      </w:r>
      <w:r>
        <w:rPr>
          <w:rFonts w:hint="eastAsia" w:ascii="宋体" w:hAnsi="宋体" w:eastAsia="宋体" w:cs="宋体"/>
          <w:color w:val="auto"/>
          <w:sz w:val="21"/>
          <w:szCs w:val="21"/>
          <w:highlight w:val="none"/>
          <w:u w:color="000000"/>
          <w:lang w:val="zh-TW" w:eastAsia="zh-TW"/>
        </w:rPr>
        <w:t>另在开盘、加推、售出、公开等重要营销节点提供</w:t>
      </w:r>
      <w:r>
        <w:rPr>
          <w:rFonts w:hint="eastAsia" w:ascii="宋体" w:hAnsi="宋体" w:eastAsia="宋体" w:cs="宋体"/>
          <w:color w:val="auto"/>
          <w:sz w:val="21"/>
          <w:szCs w:val="21"/>
          <w:highlight w:val="none"/>
          <w:u w:color="000000"/>
        </w:rPr>
        <w:t>设计</w:t>
      </w:r>
      <w:r>
        <w:rPr>
          <w:rFonts w:hint="eastAsia" w:ascii="宋体" w:hAnsi="宋体" w:eastAsia="宋体" w:cs="宋体"/>
          <w:color w:val="auto"/>
          <w:sz w:val="21"/>
          <w:szCs w:val="21"/>
          <w:highlight w:val="none"/>
          <w:u w:color="000000"/>
          <w:lang w:val="zh-TW" w:eastAsia="zh-TW"/>
        </w:rPr>
        <w:t>驻场服务，驻场费用包含在每月服务费中，甲方不另支付，具体驻场时间由双方在相应节点前协商确定。</w:t>
      </w:r>
    </w:p>
    <w:p w14:paraId="1C48E32E">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五、收费标准及付款方式</w:t>
      </w:r>
    </w:p>
    <w:p w14:paraId="33402F8F">
      <w:pPr>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val="zh-TW"/>
        </w:rPr>
        <w:t>1.</w:t>
      </w:r>
      <w:r>
        <w:rPr>
          <w:rFonts w:hint="eastAsia" w:ascii="宋体" w:hAnsi="宋体" w:eastAsia="宋体" w:cs="宋体"/>
          <w:color w:val="auto"/>
          <w:sz w:val="21"/>
          <w:szCs w:val="21"/>
          <w:highlight w:val="none"/>
          <w:u w:color="000000"/>
          <w:lang w:val="zh-TW" w:eastAsia="zh-TW"/>
        </w:rPr>
        <w:t>收费范围与标准</w:t>
      </w:r>
    </w:p>
    <w:p w14:paraId="0A432043">
      <w:pPr>
        <w:pStyle w:val="149"/>
        <w:framePr w:wrap="auto" w:vAnchor="margin" w:hAnchor="text" w:yAlign="inline"/>
        <w:numPr>
          <w:ilvl w:val="0"/>
          <w:numId w:val="6"/>
        </w:numPr>
        <w:shd w:val="clear" w:color="auto" w:fill="auto"/>
        <w:spacing w:line="360" w:lineRule="auto"/>
        <w:ind w:left="0" w:firstLine="420" w:firstLineChars="200"/>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TW"/>
        </w:rPr>
        <w:t>本合同服务费暂定总价为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zh-TW" w:eastAsia="zh-TW"/>
        </w:rPr>
        <w:t xml:space="preserve">     </w:t>
      </w:r>
      <w:r>
        <w:rPr>
          <w:rFonts w:hint="eastAsia" w:ascii="宋体" w:hAnsi="宋体" w:eastAsia="宋体" w:cs="宋体"/>
          <w:color w:val="auto"/>
          <w:highlight w:val="none"/>
          <w:lang w:val="zh-TW" w:eastAsia="zh-TW"/>
        </w:rPr>
        <w:t>元（大写：人民币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zh-TW" w:eastAsia="zh-TW"/>
        </w:rPr>
        <w:t xml:space="preserve">     </w:t>
      </w:r>
      <w:r>
        <w:rPr>
          <w:rFonts w:hint="eastAsia" w:ascii="宋体" w:hAnsi="宋体" w:eastAsia="宋体" w:cs="宋体"/>
          <w:color w:val="auto"/>
          <w:highlight w:val="none"/>
          <w:lang w:val="zh-TW" w:eastAsia="zh-TW"/>
        </w:rPr>
        <w:t>），其中：不含税总价</w:t>
      </w:r>
      <w:r>
        <w:rPr>
          <w:rFonts w:hint="eastAsia" w:ascii="宋体" w:hAnsi="宋体" w:eastAsia="宋体" w:cs="宋体"/>
          <w:color w:val="auto"/>
          <w:highlight w:val="none"/>
          <w:u w:val="single"/>
          <w:lang w:val="zh-TW" w:eastAsia="zh-TW"/>
        </w:rPr>
        <w:t xml:space="preserve">     </w:t>
      </w:r>
      <w:r>
        <w:rPr>
          <w:rFonts w:hint="eastAsia" w:ascii="宋体" w:hAnsi="宋体" w:eastAsia="宋体" w:cs="宋体"/>
          <w:color w:val="auto"/>
          <w:highlight w:val="none"/>
          <w:lang w:val="zh-TW" w:eastAsia="zh-TW"/>
        </w:rPr>
        <w:t>元（大写：人民币</w:t>
      </w:r>
      <w:r>
        <w:rPr>
          <w:rFonts w:hint="eastAsia" w:ascii="宋体" w:hAnsi="宋体" w:eastAsia="宋体" w:cs="宋体"/>
          <w:color w:val="auto"/>
          <w:highlight w:val="none"/>
          <w:u w:val="single"/>
          <w:lang w:val="zh-TW" w:eastAsia="zh-TW"/>
        </w:rPr>
        <w:t xml:space="preserve">      </w:t>
      </w:r>
      <w:r>
        <w:rPr>
          <w:rFonts w:hint="eastAsia" w:ascii="宋体" w:hAnsi="宋体" w:eastAsia="宋体" w:cs="宋体"/>
          <w:color w:val="auto"/>
          <w:highlight w:val="none"/>
          <w:lang w:val="zh-TW" w:eastAsia="zh-TW"/>
        </w:rPr>
        <w:t>），税金</w:t>
      </w:r>
      <w:r>
        <w:rPr>
          <w:rFonts w:hint="eastAsia" w:ascii="宋体" w:hAnsi="宋体" w:eastAsia="宋体" w:cs="宋体"/>
          <w:color w:val="auto"/>
          <w:highlight w:val="none"/>
          <w:u w:val="single"/>
          <w:lang w:val="zh-TW" w:eastAsia="zh-TW"/>
        </w:rPr>
        <w:t xml:space="preserve">     </w:t>
      </w:r>
      <w:r>
        <w:rPr>
          <w:rFonts w:hint="eastAsia" w:ascii="宋体" w:hAnsi="宋体" w:eastAsia="宋体" w:cs="宋体"/>
          <w:color w:val="auto"/>
          <w:highlight w:val="none"/>
          <w:lang w:val="zh-TW" w:eastAsia="zh-TW"/>
        </w:rPr>
        <w:t>元（大写：人民币</w:t>
      </w:r>
      <w:r>
        <w:rPr>
          <w:rFonts w:hint="eastAsia" w:ascii="宋体" w:hAnsi="宋体" w:eastAsia="宋体" w:cs="宋体"/>
          <w:color w:val="auto"/>
          <w:highlight w:val="none"/>
          <w:u w:val="single"/>
          <w:lang w:val="zh-TW" w:eastAsia="zh-TW"/>
        </w:rPr>
        <w:t xml:space="preserve">      </w:t>
      </w:r>
      <w:r>
        <w:rPr>
          <w:rFonts w:hint="eastAsia" w:ascii="宋体" w:hAnsi="宋体" w:eastAsia="宋体" w:cs="宋体"/>
          <w:color w:val="auto"/>
          <w:highlight w:val="none"/>
          <w:lang w:val="zh-TW" w:eastAsia="zh-TW"/>
        </w:rPr>
        <w:t>），税率</w:t>
      </w:r>
      <w:r>
        <w:rPr>
          <w:rFonts w:hint="eastAsia" w:ascii="宋体" w:hAnsi="宋体" w:eastAsia="宋体" w:cs="宋体"/>
          <w:color w:val="auto"/>
          <w:highlight w:val="none"/>
          <w:u w:val="single"/>
          <w:lang w:val="zh-TW" w:eastAsia="zh-TW"/>
        </w:rPr>
        <w:t xml:space="preserve">   </w:t>
      </w:r>
      <w:r>
        <w:rPr>
          <w:rFonts w:hint="eastAsia" w:ascii="宋体" w:hAnsi="宋体" w:eastAsia="宋体" w:cs="宋体"/>
          <w:color w:val="auto"/>
          <w:highlight w:val="none"/>
          <w:lang w:val="zh-TW" w:eastAsia="zh-TW"/>
        </w:rPr>
        <w:t>%。每月服务费：</w:t>
      </w:r>
      <w:r>
        <w:rPr>
          <w:rFonts w:hint="eastAsia" w:ascii="宋体" w:hAnsi="宋体" w:eastAsia="宋体" w:cs="宋体"/>
          <w:color w:val="auto"/>
          <w:highlight w:val="none"/>
          <w:u w:val="single"/>
          <w:lang w:val="zh-TW" w:eastAsia="zh-TW"/>
        </w:rPr>
        <w:t xml:space="preserve">     </w:t>
      </w:r>
      <w:r>
        <w:rPr>
          <w:rFonts w:hint="eastAsia" w:ascii="宋体" w:hAnsi="宋体" w:eastAsia="宋体" w:cs="宋体"/>
          <w:color w:val="auto"/>
          <w:highlight w:val="none"/>
          <w:lang w:val="zh-TW" w:eastAsia="zh-TW"/>
        </w:rPr>
        <w:t>元（大写：人民币</w:t>
      </w:r>
      <w:r>
        <w:rPr>
          <w:rFonts w:hint="eastAsia" w:ascii="宋体" w:hAnsi="宋体" w:eastAsia="宋体" w:cs="宋体"/>
          <w:color w:val="auto"/>
          <w:highlight w:val="none"/>
          <w:u w:val="single"/>
          <w:lang w:val="zh-TW" w:eastAsia="zh-TW"/>
        </w:rPr>
        <w:t xml:space="preserve">      </w:t>
      </w:r>
      <w:r>
        <w:rPr>
          <w:rFonts w:hint="eastAsia" w:ascii="宋体" w:hAnsi="宋体" w:eastAsia="宋体" w:cs="宋体"/>
          <w:color w:val="auto"/>
          <w:highlight w:val="none"/>
          <w:lang w:val="zh-TW" w:eastAsia="zh-TW"/>
        </w:rPr>
        <w:t>），计</w:t>
      </w:r>
      <w:r>
        <w:rPr>
          <w:rFonts w:hint="eastAsia" w:ascii="宋体" w:hAnsi="宋体" w:eastAsia="宋体" w:cs="宋体"/>
          <w:color w:val="auto"/>
          <w:highlight w:val="none"/>
        </w:rPr>
        <w:t>12</w:t>
      </w:r>
      <w:r>
        <w:rPr>
          <w:rFonts w:hint="eastAsia" w:ascii="宋体" w:hAnsi="宋体" w:eastAsia="宋体" w:cs="宋体"/>
          <w:color w:val="auto"/>
          <w:highlight w:val="none"/>
          <w:lang w:val="zh-TW" w:eastAsia="zh-TW"/>
        </w:rPr>
        <w:t>个月</w:t>
      </w:r>
      <w:r>
        <w:rPr>
          <w:rFonts w:hint="eastAsia" w:ascii="宋体" w:hAnsi="宋体" w:eastAsia="宋体" w:cs="宋体"/>
          <w:color w:val="auto"/>
          <w:highlight w:val="none"/>
          <w:lang w:val="zh-TW"/>
        </w:rPr>
        <w:t>。</w:t>
      </w:r>
    </w:p>
    <w:p w14:paraId="3F0742EE">
      <w:pPr>
        <w:widowControl w:val="0"/>
        <w:numPr>
          <w:ilvl w:val="0"/>
          <w:numId w:val="6"/>
        </w:numPr>
        <w:shd w:val="clear" w:color="auto" w:fill="auto"/>
        <w:spacing w:line="360" w:lineRule="auto"/>
        <w:ind w:left="0" w:firstLine="420" w:firstLineChars="200"/>
        <w:jc w:val="both"/>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highlight w:val="none"/>
          <w:lang w:val="zh-TW" w:eastAsia="zh-TW"/>
        </w:rPr>
        <w:t>服务费中包含乙方完成本项目服务工作产生的人工费、材料费、管理费、利润、税金等一切费用，且包含考核费用。在合同履行期间，乙方为甲方提供服务所发生的食、宿、差旅等费用，亦已包含在合同价款中，不再另外计取</w:t>
      </w:r>
      <w:r>
        <w:rPr>
          <w:rFonts w:hint="eastAsia" w:ascii="宋体" w:hAnsi="宋体" w:eastAsia="宋体" w:cs="宋体"/>
          <w:color w:val="auto"/>
          <w:kern w:val="2"/>
          <w:sz w:val="21"/>
          <w:szCs w:val="21"/>
          <w:highlight w:val="none"/>
          <w:lang w:val="zh-TW" w:eastAsia="zh-CN" w:bidi="ar-SA"/>
        </w:rPr>
        <w:t>。</w:t>
      </w:r>
    </w:p>
    <w:p w14:paraId="3203A3FE">
      <w:pPr>
        <w:widowControl w:val="0"/>
        <w:shd w:val="clear" w:color="auto" w:fill="auto"/>
        <w:spacing w:after="0" w:line="360" w:lineRule="auto"/>
        <w:ind w:left="0" w:leftChars="0" w:firstLine="420" w:firstLineChars="200"/>
        <w:jc w:val="both"/>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zh-TW" w:eastAsia="zh-CN" w:bidi="ar-SA"/>
        </w:rPr>
        <w:t>（</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TW" w:eastAsia="zh-CN" w:bidi="ar-SA"/>
        </w:rPr>
        <w:t>）</w:t>
      </w:r>
      <w:r>
        <w:rPr>
          <w:rFonts w:hint="eastAsia" w:ascii="宋体" w:hAnsi="宋体" w:eastAsia="宋体" w:cs="宋体"/>
          <w:color w:val="auto"/>
          <w:kern w:val="0"/>
          <w:sz w:val="21"/>
          <w:szCs w:val="21"/>
          <w:highlight w:val="none"/>
          <w:lang w:val="zh-TW" w:eastAsia="zh-TW" w:bidi="ar-SA"/>
        </w:rPr>
        <w:t>甲方对乙方的策划服务进行月度考</w:t>
      </w:r>
      <w:r>
        <w:rPr>
          <w:rFonts w:hint="eastAsia" w:ascii="宋体" w:hAnsi="宋体" w:eastAsia="宋体" w:cs="宋体"/>
          <w:color w:val="auto"/>
          <w:kern w:val="2"/>
          <w:sz w:val="21"/>
          <w:szCs w:val="21"/>
          <w:highlight w:val="none"/>
          <w:lang w:val="zh-TW" w:eastAsia="zh-TW" w:bidi="ar-SA"/>
        </w:rPr>
        <w:t>核，每月5日前提供上月绩效考核表与乙方确认。当月绩效考核得分为91分及以上的，</w:t>
      </w:r>
      <w:r>
        <w:rPr>
          <w:rFonts w:hint="eastAsia" w:ascii="宋体" w:hAnsi="宋体" w:eastAsia="宋体" w:cs="宋体"/>
          <w:color w:val="auto"/>
          <w:kern w:val="2"/>
          <w:sz w:val="21"/>
          <w:szCs w:val="21"/>
          <w:highlight w:val="none"/>
          <w:lang w:val="zh-TW" w:eastAsia="zh-CN" w:bidi="ar-SA"/>
        </w:rPr>
        <w:t>全额支付该月服务费；81-90分的，扣除绩效月费人民币2000元；71-80分，扣除绩效月费人民币5000元；60-70分的，扣除绩效月费人民币1万元；不足60分的，扣除绩效月费人民币2万元</w:t>
      </w:r>
      <w:r>
        <w:rPr>
          <w:rFonts w:hint="eastAsia" w:ascii="宋体" w:hAnsi="宋体" w:eastAsia="宋体" w:cs="宋体"/>
          <w:color w:val="auto"/>
          <w:kern w:val="0"/>
          <w:sz w:val="21"/>
          <w:szCs w:val="21"/>
          <w:highlight w:val="none"/>
          <w:lang w:val="zh-TW" w:eastAsia="zh-TW" w:bidi="ar-SA"/>
        </w:rPr>
        <w:t>（绩效考核标准参考附件</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TW" w:eastAsia="zh-TW" w:bidi="ar-SA"/>
        </w:rPr>
        <w:t>）。</w:t>
      </w:r>
    </w:p>
    <w:p w14:paraId="37A25F22">
      <w:pPr>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kern w:val="0"/>
          <w:sz w:val="21"/>
          <w:szCs w:val="21"/>
          <w:highlight w:val="none"/>
          <w:u w:color="000000"/>
        </w:rPr>
      </w:pPr>
      <w:r>
        <w:rPr>
          <w:rFonts w:hint="eastAsia" w:ascii="宋体" w:hAnsi="宋体" w:eastAsia="宋体" w:cs="宋体"/>
          <w:color w:val="auto"/>
          <w:kern w:val="0"/>
          <w:sz w:val="21"/>
          <w:szCs w:val="21"/>
          <w:highlight w:val="none"/>
          <w:u w:color="000000"/>
        </w:rPr>
        <w:t>2.付款方式</w:t>
      </w:r>
    </w:p>
    <w:p w14:paraId="1331FDD3">
      <w:pPr>
        <w:pStyle w:val="149"/>
        <w:framePr w:wrap="auto" w:vAnchor="margin" w:hAnchor="text" w:yAlign="inline"/>
        <w:numPr>
          <w:ilvl w:val="0"/>
          <w:numId w:val="7"/>
        </w:numPr>
        <w:shd w:val="clear" w:color="auto" w:fill="auto"/>
        <w:tabs>
          <w:tab w:val="left" w:pos="475"/>
        </w:tabs>
        <w:spacing w:line="360" w:lineRule="auto"/>
        <w:ind w:left="0" w:firstLine="420" w:firstLineChars="200"/>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TW"/>
        </w:rPr>
        <w:t>费用每三个月支付一次，甲方根据考核结果，扣除绩效费后，支付剩余服务费。如遇服务期限暂停的，则按实际已完服务工程量进行费用支付。</w:t>
      </w:r>
    </w:p>
    <w:p w14:paraId="0561E95F">
      <w:pPr>
        <w:pStyle w:val="149"/>
        <w:framePr w:wrap="auto" w:vAnchor="margin" w:hAnchor="text" w:yAlign="inline"/>
        <w:numPr>
          <w:ilvl w:val="0"/>
          <w:numId w:val="7"/>
        </w:numPr>
        <w:shd w:val="clear" w:color="auto" w:fill="auto"/>
        <w:tabs>
          <w:tab w:val="left" w:pos="475"/>
        </w:tabs>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每次付款前乙方应提供与当次付款等额的、合法有效的增值税专用发票（发票税率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%），否则甲方可以拒绝向乙方付款。</w:t>
      </w:r>
    </w:p>
    <w:p w14:paraId="0A022C07">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六、双方权利义务</w:t>
      </w:r>
    </w:p>
    <w:p w14:paraId="105FC6D0">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u w:color="000000"/>
        </w:rPr>
        <w:t>1.</w:t>
      </w:r>
      <w:r>
        <w:rPr>
          <w:rFonts w:hint="eastAsia" w:ascii="宋体" w:hAnsi="宋体" w:eastAsia="宋体" w:cs="宋体"/>
          <w:color w:val="auto"/>
          <w:sz w:val="21"/>
          <w:szCs w:val="21"/>
          <w:highlight w:val="none"/>
          <w:u w:color="000000"/>
          <w:lang w:val="zh-TW" w:eastAsia="zh-TW"/>
        </w:rPr>
        <w:t>甲方的权利义务：</w:t>
      </w:r>
    </w:p>
    <w:p w14:paraId="454833C6">
      <w:pPr>
        <w:widowControl w:val="0"/>
        <w:shd w:val="clear" w:color="auto" w:fill="auto"/>
        <w:tabs>
          <w:tab w:val="left" w:pos="530"/>
          <w:tab w:val="left" w:pos="2203"/>
        </w:tabs>
        <w:spacing w:line="360" w:lineRule="auto"/>
        <w:ind w:firstLine="420" w:firstLineChars="200"/>
        <w:jc w:val="both"/>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TW" w:eastAsia="zh-TW" w:bidi="ar-SA"/>
        </w:rPr>
        <w:t>甲方对合作实施归口管理，归口管理部门为</w:t>
      </w:r>
      <w:r>
        <w:rPr>
          <w:rFonts w:hint="eastAsia" w:ascii="宋体" w:hAnsi="宋体" w:eastAsia="宋体" w:cs="宋体"/>
          <w:color w:val="auto"/>
          <w:kern w:val="0"/>
          <w:sz w:val="21"/>
          <w:szCs w:val="21"/>
          <w:highlight w:val="none"/>
          <w:lang w:val="en-US" w:eastAsia="zh-CN" w:bidi="ar-SA"/>
        </w:rPr>
        <w:t>维投地产营销运营中心</w:t>
      </w:r>
      <w:r>
        <w:rPr>
          <w:rFonts w:hint="eastAsia" w:ascii="宋体" w:hAnsi="宋体" w:eastAsia="宋体" w:cs="宋体"/>
          <w:color w:val="auto"/>
          <w:kern w:val="0"/>
          <w:sz w:val="21"/>
          <w:szCs w:val="21"/>
          <w:highlight w:val="none"/>
          <w:lang w:val="zh-TW" w:eastAsia="zh-TW" w:bidi="ar-SA"/>
        </w:rPr>
        <w:t>。甲方企业内部相关部门须通过归口部门统一与乙方联系，甲方应组织工作小组并授权指定一位代表</w:t>
      </w:r>
      <w:r>
        <w:rPr>
          <w:rFonts w:hint="eastAsia" w:hAnsi="宋体" w:cs="宋体"/>
          <w:color w:val="auto"/>
          <w:sz w:val="21"/>
          <w:highlight w:val="none"/>
        </w:rPr>
        <w:t>（姓名：</w:t>
      </w:r>
      <w:r>
        <w:rPr>
          <w:rFonts w:hint="eastAsia" w:hAnsi="宋体" w:cs="宋体"/>
          <w:color w:val="auto"/>
          <w:sz w:val="21"/>
          <w:highlight w:val="none"/>
          <w:u w:val="single"/>
        </w:rPr>
        <w:t xml:space="preserve">      </w:t>
      </w:r>
      <w:r>
        <w:rPr>
          <w:rFonts w:hint="eastAsia" w:hAnsi="宋体" w:cs="宋体"/>
          <w:color w:val="auto"/>
          <w:sz w:val="21"/>
          <w:highlight w:val="none"/>
        </w:rPr>
        <w:t>职务：</w:t>
      </w:r>
      <w:r>
        <w:rPr>
          <w:rFonts w:hint="eastAsia" w:hAnsi="宋体" w:cs="宋体"/>
          <w:color w:val="auto"/>
          <w:sz w:val="21"/>
          <w:highlight w:val="none"/>
          <w:u w:val="single"/>
        </w:rPr>
        <w:t xml:space="preserve">      </w:t>
      </w:r>
      <w:r>
        <w:rPr>
          <w:rFonts w:hint="eastAsia" w:hAnsi="宋体" w:cs="宋体"/>
          <w:color w:val="auto"/>
          <w:sz w:val="21"/>
          <w:highlight w:val="none"/>
        </w:rPr>
        <w:t>联系方式：</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ascii="宋体" w:hAnsi="宋体" w:eastAsia="宋体" w:cs="宋体"/>
          <w:color w:val="auto"/>
          <w:kern w:val="0"/>
          <w:sz w:val="21"/>
          <w:szCs w:val="21"/>
          <w:highlight w:val="none"/>
          <w:lang w:val="zh-TW" w:eastAsia="zh-TW" w:bidi="ar-SA"/>
        </w:rPr>
        <w:t>与乙方沟通，甲方意见经甲方代表签署</w:t>
      </w:r>
      <w:r>
        <w:rPr>
          <w:rFonts w:hint="eastAsia" w:ascii="宋体" w:hAnsi="宋体" w:eastAsia="宋体" w:cs="宋体"/>
          <w:color w:val="auto"/>
          <w:kern w:val="0"/>
          <w:sz w:val="21"/>
          <w:szCs w:val="21"/>
          <w:highlight w:val="none"/>
          <w:lang w:val="en-US" w:eastAsia="zh-CN" w:bidi="ar-SA"/>
        </w:rPr>
        <w:t>并加盖公章</w:t>
      </w:r>
      <w:r>
        <w:rPr>
          <w:rFonts w:hint="eastAsia" w:ascii="宋体" w:hAnsi="宋体" w:eastAsia="宋体" w:cs="宋体"/>
          <w:color w:val="auto"/>
          <w:kern w:val="0"/>
          <w:sz w:val="21"/>
          <w:szCs w:val="21"/>
          <w:highlight w:val="none"/>
          <w:lang w:val="zh-TW" w:eastAsia="zh-TW" w:bidi="ar-SA"/>
        </w:rPr>
        <w:t>后生效。甲方有权变更授权代表，但需提前7个工作日书面通知乙方。</w:t>
      </w:r>
    </w:p>
    <w:p w14:paraId="7D2A97A0">
      <w:pPr>
        <w:widowControl w:val="0"/>
        <w:shd w:val="clear" w:color="auto" w:fill="auto"/>
        <w:tabs>
          <w:tab w:val="left" w:pos="530"/>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（2）在合作过程中甲方有权对乙方进行工作考核</w:t>
      </w:r>
      <w:r>
        <w:rPr>
          <w:rFonts w:hint="eastAsia" w:ascii="宋体" w:hAnsi="宋体" w:eastAsia="宋体" w:cs="宋体"/>
          <w:color w:val="auto"/>
          <w:kern w:val="0"/>
          <w:sz w:val="21"/>
          <w:szCs w:val="21"/>
          <w:highlight w:val="none"/>
          <w:lang w:val="zh-TW" w:eastAsia="zh-TW" w:bidi="ar-SA"/>
        </w:rPr>
        <w:t>，</w:t>
      </w:r>
      <w:r>
        <w:rPr>
          <w:rFonts w:hint="eastAsia" w:hAnsi="宋体" w:cs="宋体"/>
          <w:color w:val="auto"/>
          <w:sz w:val="21"/>
          <w:highlight w:val="none"/>
        </w:rPr>
        <w:t>连续2个月或累计3个月</w:t>
      </w:r>
      <w:r>
        <w:rPr>
          <w:rFonts w:hint="eastAsia" w:ascii="宋体" w:hAnsi="宋体" w:eastAsia="宋体" w:cs="宋体"/>
          <w:color w:val="auto"/>
          <w:kern w:val="0"/>
          <w:sz w:val="21"/>
          <w:szCs w:val="21"/>
          <w:highlight w:val="none"/>
          <w:lang w:val="zh-TW" w:eastAsia="zh-TW" w:bidi="ar-SA"/>
        </w:rPr>
        <w:t>，</w:t>
      </w:r>
      <w:r>
        <w:rPr>
          <w:rFonts w:hint="eastAsia" w:hAnsi="宋体" w:cs="宋体"/>
          <w:color w:val="auto"/>
          <w:sz w:val="21"/>
          <w:highlight w:val="none"/>
        </w:rPr>
        <w:t>每月</w:t>
      </w:r>
      <w:r>
        <w:rPr>
          <w:rFonts w:hint="eastAsia" w:ascii="宋体" w:hAnsi="宋体" w:eastAsia="宋体" w:cs="宋体"/>
          <w:color w:val="auto"/>
          <w:kern w:val="0"/>
          <w:sz w:val="21"/>
          <w:szCs w:val="21"/>
          <w:highlight w:val="none"/>
          <w:lang w:val="en-US" w:eastAsia="zh-CN" w:bidi="ar-SA"/>
        </w:rPr>
        <w:t>考核分低于60分的，甲方有权解除本合同；如因乙方工作成果、服务质量不符合甲方要求，甲方有权通知乙方整改，超过三次，甲方有权解除本合同；若乙方给甲方造成重大损失（经济损失达50000元），甲方有权解除合同。</w:t>
      </w:r>
    </w:p>
    <w:p w14:paraId="14FB068E">
      <w:pPr>
        <w:widowControl w:val="0"/>
        <w:shd w:val="clear" w:color="auto" w:fill="auto"/>
        <w:tabs>
          <w:tab w:val="left" w:pos="530"/>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乙方未按合同要求及乙方的承诺配备专业人员进行工作，或者配备的人员实际不具有从事本合同项下专业工作的知识、经验和水平，甲方有权要求调换或者增补，乙方应于甲方通知后7个工作日内进行调换或者增补。</w:t>
      </w:r>
    </w:p>
    <w:p w14:paraId="6B580668">
      <w:pPr>
        <w:widowControl w:val="0"/>
        <w:shd w:val="clear" w:color="auto" w:fill="auto"/>
        <w:tabs>
          <w:tab w:val="left" w:pos="530"/>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（4）甲方应按照本合同规定及时付款。</w:t>
      </w:r>
    </w:p>
    <w:p w14:paraId="21624583">
      <w:pPr>
        <w:widowControl w:val="0"/>
        <w:shd w:val="clear" w:color="auto" w:fill="auto"/>
        <w:tabs>
          <w:tab w:val="left" w:pos="530"/>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（5）本合同及双方依本合同往来的生效文件将作为乙方执行代理事务的依据。</w:t>
      </w:r>
    </w:p>
    <w:p w14:paraId="235BFC5F">
      <w:pPr>
        <w:widowControl w:val="0"/>
        <w:shd w:val="clear" w:color="auto" w:fill="auto"/>
        <w:tabs>
          <w:tab w:val="left" w:pos="530"/>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（6）甲方有权对乙方的工作提出异议，乙方应全力配合解决，直至甲方满意。</w:t>
      </w:r>
    </w:p>
    <w:p w14:paraId="4893E20A">
      <w:pPr>
        <w:pStyle w:val="20"/>
        <w:pageBreakBefore w:val="0"/>
        <w:tabs>
          <w:tab w:val="left" w:pos="2203"/>
        </w:tabs>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u w:color="000000"/>
        </w:rPr>
        <w:t>2.</w:t>
      </w:r>
      <w:r>
        <w:rPr>
          <w:rFonts w:hint="eastAsia" w:ascii="宋体" w:hAnsi="宋体" w:eastAsia="宋体" w:cs="宋体"/>
          <w:color w:val="auto"/>
          <w:sz w:val="21"/>
          <w:szCs w:val="21"/>
          <w:highlight w:val="none"/>
          <w:u w:color="000000"/>
          <w:lang w:val="zh-TW" w:eastAsia="zh-TW"/>
        </w:rPr>
        <w:t>乙方的权利义务：</w:t>
      </w:r>
    </w:p>
    <w:p w14:paraId="7E3B5E21">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en-US" w:eastAsia="zh-CN" w:bidi="ar-SA"/>
        </w:rPr>
        <w:t>（1）</w:t>
      </w:r>
      <w:r>
        <w:rPr>
          <w:rFonts w:hint="eastAsia" w:hAnsi="宋体" w:cs="宋体"/>
          <w:snapToGrid w:val="0"/>
          <w:color w:val="auto"/>
          <w:sz w:val="21"/>
          <w:highlight w:val="none"/>
        </w:rPr>
        <w:t>乙方授权（姓名：</w:t>
      </w:r>
      <w:r>
        <w:rPr>
          <w:rFonts w:hint="eastAsia" w:hAnsi="宋体" w:cs="宋体"/>
          <w:snapToGrid w:val="0"/>
          <w:color w:val="auto"/>
          <w:sz w:val="21"/>
          <w:highlight w:val="none"/>
          <w:u w:val="single"/>
        </w:rPr>
        <w:t xml:space="preserve">     </w:t>
      </w:r>
      <w:r>
        <w:rPr>
          <w:rFonts w:hint="eastAsia" w:hAnsi="宋体" w:cs="宋体"/>
          <w:snapToGrid w:val="0"/>
          <w:color w:val="auto"/>
          <w:sz w:val="21"/>
          <w:highlight w:val="none"/>
        </w:rPr>
        <w:t>职务：</w:t>
      </w:r>
      <w:r>
        <w:rPr>
          <w:rFonts w:hint="eastAsia" w:hAnsi="宋体" w:cs="宋体"/>
          <w:snapToGrid w:val="0"/>
          <w:color w:val="auto"/>
          <w:sz w:val="21"/>
          <w:highlight w:val="none"/>
          <w:u w:val="single"/>
        </w:rPr>
        <w:t xml:space="preserve">     </w:t>
      </w:r>
      <w:r>
        <w:rPr>
          <w:rFonts w:hint="eastAsia" w:hAnsi="宋体" w:cs="宋体"/>
          <w:snapToGrid w:val="0"/>
          <w:color w:val="auto"/>
          <w:sz w:val="21"/>
          <w:highlight w:val="none"/>
        </w:rPr>
        <w:t>联系方式：</w:t>
      </w:r>
      <w:r>
        <w:rPr>
          <w:rFonts w:hint="eastAsia" w:hAnsi="宋体" w:cs="宋体"/>
          <w:snapToGrid w:val="0"/>
          <w:color w:val="auto"/>
          <w:sz w:val="21"/>
          <w:highlight w:val="none"/>
          <w:u w:val="single"/>
        </w:rPr>
        <w:t xml:space="preserve">     </w:t>
      </w:r>
      <w:r>
        <w:rPr>
          <w:rFonts w:hint="eastAsia" w:hAnsi="宋体" w:cs="宋体"/>
          <w:snapToGrid w:val="0"/>
          <w:color w:val="auto"/>
          <w:sz w:val="21"/>
          <w:highlight w:val="none"/>
        </w:rPr>
        <w:t>）为项目负责人，作为乙方代表与甲方沟通，乙方意见经乙方代表签署并加盖公章后生效。乙方有权变更授权代表，但需提前7个工作日书面通知甲方</w:t>
      </w:r>
      <w:r>
        <w:rPr>
          <w:rFonts w:hint="eastAsia" w:ascii="宋体" w:hAnsi="宋体" w:eastAsia="宋体" w:cs="宋体"/>
          <w:color w:val="auto"/>
          <w:kern w:val="0"/>
          <w:sz w:val="21"/>
          <w:szCs w:val="21"/>
          <w:highlight w:val="none"/>
          <w:lang w:val="zh-TW" w:eastAsia="zh-TW" w:bidi="ar-SA"/>
        </w:rPr>
        <w:t>。</w:t>
      </w:r>
    </w:p>
    <w:p w14:paraId="4F490F90">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TW"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TW" w:bidi="ar-SA"/>
        </w:rPr>
        <w:t>乙方应尽职尽责完成本合同项下之义务，所提交之各项工作成果应具有科学性、合理性、准确性及适用性并严格遵守保密义务。</w:t>
      </w:r>
    </w:p>
    <w:p w14:paraId="3CEBAE48">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TW" w:bidi="ar-SA"/>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TW" w:bidi="ar-SA"/>
        </w:rPr>
        <w:t>乙方应按甲方确认</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TW" w:bidi="ar-SA"/>
        </w:rPr>
        <w:t>正稿进行输出、制作、发布等业务。</w:t>
      </w:r>
    </w:p>
    <w:p w14:paraId="28685CE5">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TW" w:bidi="ar-SA"/>
        </w:rPr>
      </w:pP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TW" w:bidi="ar-SA"/>
        </w:rPr>
        <w:t>为提高工作效率，乙方所有策划方案及相关建议、文案</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TW" w:bidi="ar-SA"/>
        </w:rPr>
        <w:t>不含图表、图案)可以以电子邮件、传真等书面形式向甲方汇报和提交。</w:t>
      </w:r>
    </w:p>
    <w:p w14:paraId="7FA4DF3C">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TW" w:bidi="ar-SA"/>
        </w:rPr>
      </w:pP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TW" w:bidi="ar-SA"/>
        </w:rPr>
        <w:t>为更</w:t>
      </w:r>
      <w:r>
        <w:rPr>
          <w:rFonts w:hint="eastAsia" w:ascii="宋体" w:hAnsi="宋体" w:eastAsia="宋体" w:cs="宋体"/>
          <w:color w:val="auto"/>
          <w:kern w:val="0"/>
          <w:sz w:val="21"/>
          <w:szCs w:val="21"/>
          <w:highlight w:val="none"/>
          <w:lang w:val="en-US" w:eastAsia="zh-CN" w:bidi="ar-SA"/>
        </w:rPr>
        <w:t>高效</w:t>
      </w:r>
      <w:r>
        <w:rPr>
          <w:rFonts w:hint="eastAsia" w:ascii="宋体" w:hAnsi="宋体" w:eastAsia="宋体" w:cs="宋体"/>
          <w:color w:val="auto"/>
          <w:kern w:val="0"/>
          <w:sz w:val="21"/>
          <w:szCs w:val="21"/>
          <w:highlight w:val="none"/>
          <w:lang w:val="en-US" w:eastAsia="zh-TW" w:bidi="ar-SA"/>
        </w:rPr>
        <w:t>履行代理职责，乙方将组建专项小组向甲方提供代理服务。在该小组成员不能履行或不能胜任时，乙方应及时更换、替补能胜任成员，尽力保持该小组服务质素的持续性和稳定性。乙方项目小组成员组成是甲乙双方合作的重要前提基础，若项目小组成员在乙方内部调动，需书面通知甲方并征得同意；若乙方项目小组成员离职，乙方应提前7个工作日以书面形式通知甲方，并及时补足经甲方认可的人员。</w:t>
      </w:r>
    </w:p>
    <w:p w14:paraId="558D588B">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TW" w:bidi="ar-SA"/>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TW" w:bidi="ar-SA"/>
        </w:rPr>
        <w:t>乙方需与甲方保持紧密联系，除经甲方认可外，乙方项目组的主要成员应参与在甲方处举行的每一次例会。</w:t>
      </w:r>
    </w:p>
    <w:p w14:paraId="7C27B216">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TW"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TW" w:bidi="ar-SA"/>
        </w:rPr>
        <w:t>乙方需对其代理质量负责，包括策划、创意、设计全过程中的合法性；乙方承诺以其所具有的专业知识和能力，使广告创意、设计符合甲方推广项目产品（服务）的要求，并不会侵犯第三方合法权益。</w:t>
      </w:r>
    </w:p>
    <w:p w14:paraId="6FCC2FDA">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TW"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eastAsia="zh-TW" w:bidi="ar-SA"/>
        </w:rPr>
        <w:t>乙方每月应不少于</w:t>
      </w:r>
      <w:r>
        <w:rPr>
          <w:rFonts w:hint="eastAsia" w:ascii="宋体" w:hAnsi="宋体" w:eastAsia="宋体" w:cs="宋体"/>
          <w:color w:val="auto"/>
          <w:kern w:val="0"/>
          <w:sz w:val="21"/>
          <w:szCs w:val="21"/>
          <w:highlight w:val="none"/>
          <w:lang w:val="en-US" w:eastAsia="zh-CN" w:bidi="ar-SA"/>
        </w:rPr>
        <w:t>四次</w:t>
      </w:r>
      <w:r>
        <w:rPr>
          <w:rFonts w:hint="eastAsia" w:ascii="宋体" w:hAnsi="宋体" w:eastAsia="宋体" w:cs="宋体"/>
          <w:color w:val="auto"/>
          <w:kern w:val="0"/>
          <w:sz w:val="21"/>
          <w:szCs w:val="21"/>
          <w:highlight w:val="none"/>
          <w:lang w:val="en-US" w:eastAsia="zh-TW" w:bidi="ar-SA"/>
        </w:rPr>
        <w:t>以会议形式向甲方报告代理工作的主要进度和成果情况。会议将总结、讨论、分析上阶段的工作。在发生重大事件的情况下，乙方应及时向甲方报告，甲方应及时对乙方报告中的请示做出批复。会议由乙方负责记录。会议记录应由双方出席会议人员当日职位最高主管签字、确定。会议记录一式两份，双方各持一份。</w:t>
      </w:r>
    </w:p>
    <w:p w14:paraId="47DA5279">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TW"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en-US" w:eastAsia="zh-TW" w:bidi="ar-SA"/>
        </w:rPr>
        <w:t>乙方执行代理的事项时，必须经甲方事先批核和答复的，应在获得甲方批核和答复后方可进行。</w:t>
      </w:r>
    </w:p>
    <w:p w14:paraId="21D2FB1D">
      <w:pPr>
        <w:widowControl w:val="0"/>
        <w:shd w:val="clear" w:color="auto" w:fill="auto"/>
        <w:tabs>
          <w:tab w:val="left" w:pos="2203"/>
        </w:tabs>
        <w:spacing w:line="360" w:lineRule="auto"/>
        <w:ind w:firstLine="420" w:firstLineChars="200"/>
        <w:jc w:val="both"/>
        <w:rPr>
          <w:rFonts w:hint="eastAsia" w:ascii="宋体" w:hAnsi="宋体" w:eastAsia="宋体" w:cs="宋体"/>
          <w:color w:val="auto"/>
          <w:kern w:val="0"/>
          <w:sz w:val="21"/>
          <w:szCs w:val="21"/>
          <w:highlight w:val="none"/>
          <w:lang w:val="en-US" w:eastAsia="zh-TW" w:bidi="ar-SA"/>
        </w:rPr>
      </w:pPr>
      <w:r>
        <w:rPr>
          <w:rFonts w:hint="eastAsia" w:ascii="宋体" w:hAnsi="宋体" w:eastAsia="宋体" w:cs="宋体"/>
          <w:color w:val="auto"/>
          <w:kern w:val="0"/>
          <w:sz w:val="21"/>
          <w:szCs w:val="21"/>
          <w:highlight w:val="none"/>
          <w:lang w:val="en-US" w:eastAsia="zh-CN" w:bidi="ar-SA"/>
        </w:rPr>
        <w:t>（10）</w:t>
      </w:r>
      <w:r>
        <w:rPr>
          <w:rFonts w:hint="eastAsia" w:hAnsi="宋体" w:cs="宋体"/>
          <w:color w:val="auto"/>
          <w:sz w:val="21"/>
          <w:highlight w:val="none"/>
          <w:lang w:eastAsia="zh-TW"/>
        </w:rPr>
        <w:t>乙方应自觉提高安全生产意识，做好服务期内安全防护措施，确保项目组成员安全，合同履行期间乙方人员的一切安全责任及措施费用概由乙方负责。如在合同履行期间发生人身伤亡事故，由乙方承担全部责任，并由乙方承担造成的经济损失和刑事责任</w:t>
      </w:r>
      <w:r>
        <w:rPr>
          <w:rFonts w:hint="eastAsia" w:ascii="宋体" w:hAnsi="宋体" w:eastAsia="宋体" w:cs="宋体"/>
          <w:color w:val="auto"/>
          <w:kern w:val="0"/>
          <w:sz w:val="21"/>
          <w:szCs w:val="21"/>
          <w:highlight w:val="none"/>
          <w:lang w:val="en-US" w:eastAsia="zh-TW" w:bidi="ar-SA"/>
        </w:rPr>
        <w:t>。</w:t>
      </w:r>
    </w:p>
    <w:p w14:paraId="2B87D5EC">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（11）乙方需确保设计的所有成果符合广告法等法律规范，经乙方设计的成果面市后产生的一切法律法规风险由乙方自行承担。</w:t>
      </w:r>
    </w:p>
    <w:p w14:paraId="1378F6AC">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七、知识产权</w:t>
      </w:r>
    </w:p>
    <w:p w14:paraId="229BCDD9">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1.</w:t>
      </w:r>
      <w:r>
        <w:rPr>
          <w:rFonts w:hint="eastAsia" w:ascii="宋体" w:hAnsi="宋体" w:eastAsia="宋体" w:cs="宋体"/>
          <w:color w:val="auto"/>
          <w:sz w:val="21"/>
          <w:szCs w:val="21"/>
          <w:highlight w:val="none"/>
          <w:u w:color="000000"/>
          <w:lang w:val="zh-TW" w:eastAsia="zh-TW"/>
        </w:rPr>
        <w:t>乙方因履行本合同而完成的有关成果以及设计稿件</w:t>
      </w:r>
      <w:r>
        <w:rPr>
          <w:rFonts w:hint="eastAsia" w:ascii="宋体" w:hAnsi="宋体" w:eastAsia="宋体" w:cs="宋体"/>
          <w:color w:val="auto"/>
          <w:sz w:val="21"/>
          <w:szCs w:val="21"/>
          <w:highlight w:val="none"/>
          <w:u w:color="000000"/>
          <w:lang w:val="zh-TW"/>
        </w:rPr>
        <w:t>（</w:t>
      </w:r>
      <w:r>
        <w:rPr>
          <w:rFonts w:hint="eastAsia" w:ascii="宋体" w:hAnsi="宋体" w:eastAsia="宋体" w:cs="宋体"/>
          <w:color w:val="auto"/>
          <w:sz w:val="21"/>
          <w:szCs w:val="21"/>
          <w:highlight w:val="none"/>
          <w:u w:color="000000"/>
          <w:lang w:val="zh-TW" w:eastAsia="zh-TW"/>
        </w:rPr>
        <w:t>包括但不限于传播策略、创意及构思、平面电视电台作品、包装设计等</w:t>
      </w:r>
      <w:r>
        <w:rPr>
          <w:rFonts w:hint="eastAsia" w:ascii="宋体" w:hAnsi="宋体" w:eastAsia="宋体" w:cs="宋体"/>
          <w:color w:val="auto"/>
          <w:sz w:val="21"/>
          <w:szCs w:val="21"/>
          <w:highlight w:val="none"/>
          <w:u w:color="000000"/>
          <w:lang w:val="zh-TW"/>
        </w:rPr>
        <w:t>）</w:t>
      </w:r>
      <w:r>
        <w:rPr>
          <w:rFonts w:hint="eastAsia" w:ascii="宋体" w:hAnsi="宋体" w:eastAsia="宋体" w:cs="宋体"/>
          <w:color w:val="auto"/>
          <w:sz w:val="21"/>
          <w:szCs w:val="21"/>
          <w:highlight w:val="none"/>
          <w:u w:color="000000"/>
          <w:lang w:val="zh-TW" w:eastAsia="zh-TW"/>
        </w:rPr>
        <w:t>的知识产权归甲方所有。</w:t>
      </w:r>
    </w:p>
    <w:p w14:paraId="4E34BB7F">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strike/>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2.</w:t>
      </w:r>
      <w:r>
        <w:rPr>
          <w:rFonts w:hint="eastAsia" w:ascii="宋体" w:hAnsi="宋体" w:eastAsia="宋体" w:cs="宋体"/>
          <w:color w:val="auto"/>
          <w:sz w:val="21"/>
          <w:szCs w:val="21"/>
          <w:highlight w:val="none"/>
          <w:u w:color="000000"/>
        </w:rPr>
        <w:t>乙方应确保</w:t>
      </w:r>
      <w:r>
        <w:rPr>
          <w:rFonts w:hint="eastAsia" w:ascii="宋体" w:hAnsi="宋体" w:eastAsia="宋体" w:cs="宋体"/>
          <w:color w:val="auto"/>
          <w:sz w:val="21"/>
          <w:szCs w:val="21"/>
          <w:highlight w:val="none"/>
          <w:u w:color="000000"/>
          <w:lang w:val="zh-TW" w:eastAsia="zh-TW"/>
        </w:rPr>
        <w:t>因履行本合同而完成的有关成果以及设计稿件</w:t>
      </w:r>
      <w:r>
        <w:rPr>
          <w:rFonts w:hint="eastAsia" w:ascii="宋体" w:hAnsi="宋体" w:eastAsia="宋体" w:cs="宋体"/>
          <w:color w:val="auto"/>
          <w:sz w:val="21"/>
          <w:szCs w:val="21"/>
          <w:highlight w:val="none"/>
          <w:u w:color="000000"/>
        </w:rPr>
        <w:t>不涉及第三方的知识产权，非因甲方提供资料引起的一切知识产权纠纷及损失赔偿等责任由乙方自行承担，由此造成甲方工期延误及其他损失的，甲方有权追究其违约责任及其他损失赔偿责任。非因甲方明确要求且确需涉及第三方的知识产权的，乙方应当明确告知甲方并以合理最低费用取得授权或许可，相关费用含在投标报价中。</w:t>
      </w:r>
    </w:p>
    <w:p w14:paraId="5809E3C8">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color="000000"/>
          <w:lang w:val="zh-TW"/>
        </w:rPr>
        <w:t>3</w:t>
      </w:r>
      <w:r>
        <w:rPr>
          <w:rFonts w:hint="eastAsia" w:ascii="宋体" w:hAnsi="宋体" w:eastAsia="宋体" w:cs="宋体"/>
          <w:color w:val="auto"/>
          <w:sz w:val="21"/>
          <w:szCs w:val="21"/>
          <w:highlight w:val="none"/>
          <w:u w:color="000000"/>
          <w:lang w:val="zh-TW" w:eastAsia="zh-TW"/>
        </w:rPr>
        <w:t>.乙方</w:t>
      </w:r>
      <w:r>
        <w:rPr>
          <w:rFonts w:hint="eastAsia" w:ascii="宋体" w:hAnsi="宋体" w:eastAsia="宋体" w:cs="宋体"/>
          <w:color w:val="auto"/>
          <w:sz w:val="21"/>
          <w:szCs w:val="21"/>
          <w:highlight w:val="none"/>
          <w:u w:color="000000"/>
        </w:rPr>
        <w:t>不得</w:t>
      </w:r>
      <w:r>
        <w:rPr>
          <w:rFonts w:hint="eastAsia" w:ascii="宋体" w:hAnsi="宋体" w:eastAsia="宋体" w:cs="宋体"/>
          <w:color w:val="auto"/>
          <w:sz w:val="21"/>
          <w:szCs w:val="21"/>
          <w:highlight w:val="none"/>
          <w:u w:color="000000"/>
          <w:lang w:val="zh-TW" w:eastAsia="zh-TW"/>
        </w:rPr>
        <w:t>未经甲方同意用</w:t>
      </w:r>
      <w:r>
        <w:rPr>
          <w:rFonts w:hint="eastAsia" w:ascii="宋体" w:hAnsi="宋体" w:eastAsia="宋体" w:cs="宋体"/>
          <w:color w:val="auto"/>
          <w:sz w:val="21"/>
          <w:szCs w:val="21"/>
          <w:highlight w:val="none"/>
          <w:u w:color="000000"/>
        </w:rPr>
        <w:t>本协议约定范围的</w:t>
      </w:r>
      <w:r>
        <w:rPr>
          <w:rFonts w:hint="eastAsia" w:ascii="宋体" w:hAnsi="宋体" w:eastAsia="宋体" w:cs="宋体"/>
          <w:color w:val="auto"/>
          <w:sz w:val="21"/>
          <w:szCs w:val="21"/>
          <w:highlight w:val="none"/>
          <w:u w:color="000000"/>
          <w:lang w:val="zh-TW" w:eastAsia="zh-TW"/>
        </w:rPr>
        <w:t>所设计之作品参与公益、专业、行业或各类组织机构所组织的竞赛评比活动以及为自己宣传和研究目的所用。</w:t>
      </w:r>
    </w:p>
    <w:p w14:paraId="0E745809">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八、保密约定</w:t>
      </w:r>
    </w:p>
    <w:p w14:paraId="206205B9">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1.</w:t>
      </w:r>
      <w:r>
        <w:rPr>
          <w:rFonts w:hint="eastAsia" w:ascii="宋体" w:hAnsi="宋体" w:eastAsia="宋体" w:cs="宋体"/>
          <w:color w:val="auto"/>
          <w:sz w:val="21"/>
          <w:szCs w:val="21"/>
          <w:highlight w:val="none"/>
          <w:u w:color="000000"/>
          <w:lang w:val="zh-TW" w:eastAsia="zh-TW"/>
        </w:rPr>
        <w:t>甲乙双方对因履行合同而知悉的对方商业秘密互负保密的义务，未经对方书面同意不得向第三方泄露。双方保证为了对方的利益仅在必要情况下，将这些秘密透露给为实施本合同而必需了解相关秘密的本方人员或第三方依法有权强制得到该秘密的机关；保证其职员或第三方与其一样履行本合同规定的保密义务。</w:t>
      </w:r>
    </w:p>
    <w:p w14:paraId="6B824360">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2.</w:t>
      </w:r>
      <w:r>
        <w:rPr>
          <w:rFonts w:hint="eastAsia" w:ascii="宋体" w:hAnsi="宋体" w:eastAsia="宋体" w:cs="宋体"/>
          <w:color w:val="auto"/>
          <w:sz w:val="21"/>
          <w:szCs w:val="21"/>
          <w:highlight w:val="none"/>
          <w:u w:color="000000"/>
          <w:lang w:val="zh-TW" w:eastAsia="zh-TW"/>
        </w:rPr>
        <w:t>商业秘密指双方有关创意、构思、传播策略、营业状况、客户名单及其它技术信息和经营信息等。</w:t>
      </w:r>
    </w:p>
    <w:p w14:paraId="7F5FAA6A">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3.</w:t>
      </w:r>
      <w:r>
        <w:rPr>
          <w:rFonts w:hint="eastAsia" w:ascii="宋体" w:hAnsi="宋体" w:eastAsia="宋体" w:cs="宋体"/>
          <w:color w:val="auto"/>
          <w:sz w:val="21"/>
          <w:szCs w:val="21"/>
          <w:highlight w:val="none"/>
          <w:u w:color="000000"/>
          <w:lang w:val="zh-TW" w:eastAsia="zh-TW"/>
        </w:rPr>
        <w:t>此保密条款在本合同期内及本合同终止后壹年内有效。</w:t>
      </w:r>
    </w:p>
    <w:p w14:paraId="14199E1F">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九、工作成果的确认</w:t>
      </w:r>
    </w:p>
    <w:p w14:paraId="35D3B73F">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1.</w:t>
      </w:r>
      <w:r>
        <w:rPr>
          <w:rFonts w:hint="eastAsia" w:ascii="宋体" w:hAnsi="宋体" w:eastAsia="宋体" w:cs="宋体"/>
          <w:color w:val="auto"/>
          <w:sz w:val="21"/>
          <w:szCs w:val="21"/>
          <w:highlight w:val="none"/>
          <w:u w:color="000000"/>
          <w:lang w:val="zh-TW" w:eastAsia="zh-TW"/>
        </w:rPr>
        <w:t>甲方应于收到乙方提交的策划思路、广告方案、设计稿或其他工作成果之日起5个工作日内提出修改意见，否则，即视为已认可。</w:t>
      </w:r>
    </w:p>
    <w:p w14:paraId="1629B744">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2.</w:t>
      </w:r>
      <w:r>
        <w:rPr>
          <w:rFonts w:hint="eastAsia" w:ascii="宋体" w:hAnsi="宋体" w:eastAsia="宋体" w:cs="宋体"/>
          <w:color w:val="auto"/>
          <w:sz w:val="21"/>
          <w:szCs w:val="21"/>
          <w:highlight w:val="none"/>
          <w:u w:color="000000"/>
          <w:lang w:val="zh-TW" w:eastAsia="zh-TW"/>
        </w:rPr>
        <w:t>若甲方于上述时限之内提出修改意见，乙方应及时整改，直至甲方签字</w:t>
      </w:r>
      <w:r>
        <w:rPr>
          <w:rFonts w:hint="eastAsia" w:ascii="宋体" w:hAnsi="宋体" w:eastAsia="宋体" w:cs="宋体"/>
          <w:color w:val="auto"/>
          <w:sz w:val="21"/>
          <w:szCs w:val="21"/>
          <w:highlight w:val="none"/>
          <w:u w:color="000000"/>
        </w:rPr>
        <w:t>盖章</w:t>
      </w:r>
      <w:r>
        <w:rPr>
          <w:rFonts w:hint="eastAsia" w:ascii="宋体" w:hAnsi="宋体" w:eastAsia="宋体" w:cs="宋体"/>
          <w:color w:val="auto"/>
          <w:sz w:val="21"/>
          <w:szCs w:val="21"/>
          <w:highlight w:val="none"/>
          <w:u w:color="000000"/>
          <w:lang w:val="zh-TW" w:eastAsia="zh-TW"/>
        </w:rPr>
        <w:t>认可且该工作成果交付期限不延迟。</w:t>
      </w:r>
    </w:p>
    <w:p w14:paraId="59687B33">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十、合同终止或解除</w:t>
      </w:r>
    </w:p>
    <w:p w14:paraId="184B4905">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1.</w:t>
      </w:r>
      <w:r>
        <w:rPr>
          <w:rFonts w:hint="eastAsia" w:ascii="宋体" w:hAnsi="宋体" w:eastAsia="宋体" w:cs="宋体"/>
          <w:color w:val="auto"/>
          <w:sz w:val="21"/>
          <w:szCs w:val="21"/>
          <w:highlight w:val="none"/>
          <w:u w:color="000000"/>
          <w:lang w:val="zh-TW" w:eastAsia="zh-TW"/>
        </w:rPr>
        <w:t>经双方协商一致可终止本合同；</w:t>
      </w:r>
    </w:p>
    <w:p w14:paraId="1B3CF11A">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2.</w:t>
      </w:r>
      <w:r>
        <w:rPr>
          <w:rFonts w:hint="eastAsia" w:ascii="宋体" w:hAnsi="宋体" w:eastAsia="宋体" w:cs="宋体"/>
          <w:color w:val="auto"/>
          <w:kern w:val="0"/>
          <w:sz w:val="21"/>
          <w:szCs w:val="21"/>
          <w:highlight w:val="none"/>
          <w:lang w:val="zh-TW" w:eastAsia="zh-TW" w:bidi="ar-SA"/>
        </w:rPr>
        <w:t>经甲方考核，乙方</w:t>
      </w:r>
      <w:r>
        <w:rPr>
          <w:rFonts w:hint="eastAsia" w:ascii="宋体" w:hAnsi="宋体" w:cs="宋体"/>
          <w:color w:val="auto"/>
          <w:sz w:val="21"/>
          <w:szCs w:val="21"/>
          <w:highlight w:val="none"/>
          <w:lang w:val="zh-TW" w:eastAsia="zh-TW"/>
        </w:rPr>
        <w:t>连续</w:t>
      </w:r>
      <w:r>
        <w:rPr>
          <w:rFonts w:hint="eastAsia" w:ascii="宋体" w:hAnsi="宋体" w:cs="宋体"/>
          <w:color w:val="auto"/>
          <w:sz w:val="21"/>
          <w:szCs w:val="21"/>
          <w:highlight w:val="none"/>
          <w:lang w:val="zh-TW"/>
        </w:rPr>
        <w:t>2</w:t>
      </w:r>
      <w:r>
        <w:rPr>
          <w:rFonts w:hint="eastAsia" w:ascii="宋体" w:hAnsi="宋体" w:cs="宋体"/>
          <w:color w:val="auto"/>
          <w:sz w:val="21"/>
          <w:szCs w:val="21"/>
          <w:highlight w:val="none"/>
          <w:lang w:val="zh-TW" w:eastAsia="zh-TW"/>
        </w:rPr>
        <w:t>个月</w:t>
      </w:r>
      <w:r>
        <w:rPr>
          <w:rFonts w:hint="eastAsia" w:ascii="宋体" w:hAnsi="宋体" w:cs="宋体"/>
          <w:color w:val="auto"/>
          <w:sz w:val="21"/>
          <w:szCs w:val="21"/>
          <w:highlight w:val="none"/>
        </w:rPr>
        <w:t>或累计3个月</w:t>
      </w:r>
      <w:r>
        <w:rPr>
          <w:rFonts w:hint="eastAsia" w:ascii="宋体" w:hAnsi="宋体" w:eastAsia="宋体" w:cs="宋体"/>
          <w:color w:val="auto"/>
          <w:kern w:val="0"/>
          <w:sz w:val="21"/>
          <w:szCs w:val="21"/>
          <w:highlight w:val="none"/>
          <w:lang w:val="zh-TW" w:eastAsia="zh-TW" w:bidi="ar-SA"/>
        </w:rPr>
        <w:t>低于6</w:t>
      </w:r>
      <w:r>
        <w:rPr>
          <w:rFonts w:hint="eastAsia" w:ascii="宋体" w:hAnsi="宋体" w:eastAsia="宋体" w:cs="宋体"/>
          <w:color w:val="auto"/>
          <w:kern w:val="0"/>
          <w:sz w:val="21"/>
          <w:szCs w:val="21"/>
          <w:highlight w:val="none"/>
          <w:lang w:val="zh-TW" w:eastAsia="zh-CN" w:bidi="ar-SA"/>
        </w:rPr>
        <w:t>0</w:t>
      </w:r>
      <w:r>
        <w:rPr>
          <w:rFonts w:hint="eastAsia" w:ascii="宋体" w:hAnsi="宋体" w:eastAsia="宋体" w:cs="宋体"/>
          <w:color w:val="auto"/>
          <w:kern w:val="0"/>
          <w:sz w:val="21"/>
          <w:szCs w:val="21"/>
          <w:highlight w:val="none"/>
          <w:lang w:val="zh-TW" w:eastAsia="zh-TW" w:bidi="ar-SA"/>
        </w:rPr>
        <w:t>分，甲方有权解除本合同；</w:t>
      </w:r>
    </w:p>
    <w:p w14:paraId="0BFA3356">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3.</w:t>
      </w:r>
      <w:r>
        <w:rPr>
          <w:rFonts w:hint="eastAsia" w:ascii="宋体" w:hAnsi="宋体" w:eastAsia="宋体" w:cs="宋体"/>
          <w:color w:val="auto"/>
          <w:sz w:val="21"/>
          <w:szCs w:val="21"/>
          <w:highlight w:val="none"/>
          <w:u w:color="000000"/>
          <w:lang w:val="zh-TW" w:eastAsia="zh-TW"/>
        </w:rPr>
        <w:t>乙方因工作成果或服务质量不符合甲方要求，经甲方书面通知整改超过三次</w:t>
      </w:r>
      <w:r>
        <w:rPr>
          <w:rFonts w:hint="eastAsia" w:ascii="宋体" w:hAnsi="宋体" w:eastAsia="宋体" w:cs="宋体"/>
          <w:color w:val="auto"/>
          <w:sz w:val="21"/>
          <w:szCs w:val="21"/>
          <w:highlight w:val="none"/>
          <w:u w:color="000000"/>
          <w:lang w:val="zh-TW"/>
        </w:rPr>
        <w:t>（</w:t>
      </w:r>
      <w:r>
        <w:rPr>
          <w:rFonts w:hint="eastAsia" w:ascii="宋体" w:hAnsi="宋体" w:eastAsia="宋体" w:cs="宋体"/>
          <w:color w:val="auto"/>
          <w:sz w:val="21"/>
          <w:szCs w:val="21"/>
          <w:highlight w:val="none"/>
          <w:u w:color="000000"/>
        </w:rPr>
        <w:t>含</w:t>
      </w:r>
      <w:r>
        <w:rPr>
          <w:rFonts w:hint="eastAsia" w:ascii="宋体" w:hAnsi="宋体" w:eastAsia="宋体" w:cs="宋体"/>
          <w:color w:val="auto"/>
          <w:sz w:val="21"/>
          <w:szCs w:val="21"/>
          <w:highlight w:val="none"/>
          <w:u w:color="000000"/>
          <w:lang w:val="zh-TW"/>
        </w:rPr>
        <w:t>）</w:t>
      </w:r>
      <w:r>
        <w:rPr>
          <w:rFonts w:hint="eastAsia" w:ascii="宋体" w:hAnsi="宋体" w:eastAsia="宋体" w:cs="宋体"/>
          <w:color w:val="auto"/>
          <w:sz w:val="21"/>
          <w:szCs w:val="21"/>
          <w:highlight w:val="none"/>
          <w:u w:color="000000"/>
          <w:lang w:val="zh-TW" w:eastAsia="zh-TW"/>
        </w:rPr>
        <w:t>，甲方有权解除本合同。</w:t>
      </w:r>
    </w:p>
    <w:p w14:paraId="18902942">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4.</w:t>
      </w:r>
      <w:r>
        <w:rPr>
          <w:rFonts w:hint="eastAsia" w:ascii="宋体" w:hAnsi="宋体" w:eastAsia="宋体" w:cs="宋体"/>
          <w:color w:val="auto"/>
          <w:sz w:val="21"/>
          <w:szCs w:val="21"/>
          <w:highlight w:val="none"/>
          <w:u w:color="000000"/>
          <w:lang w:val="zh-TW" w:eastAsia="zh-TW"/>
        </w:rPr>
        <w:t>若乙方给甲方造成重大损失（经济损失额达</w:t>
      </w:r>
      <w:r>
        <w:rPr>
          <w:rFonts w:hint="eastAsia" w:ascii="宋体" w:hAnsi="宋体" w:eastAsia="宋体" w:cs="宋体"/>
          <w:color w:val="auto"/>
          <w:sz w:val="21"/>
          <w:szCs w:val="21"/>
          <w:highlight w:val="none"/>
          <w:u w:color="000000"/>
          <w:lang w:val="zh-TW"/>
        </w:rPr>
        <w:t>50000</w:t>
      </w:r>
      <w:r>
        <w:rPr>
          <w:rFonts w:hint="eastAsia" w:ascii="宋体" w:hAnsi="宋体" w:eastAsia="宋体" w:cs="宋体"/>
          <w:color w:val="auto"/>
          <w:sz w:val="21"/>
          <w:szCs w:val="21"/>
          <w:highlight w:val="none"/>
          <w:u w:color="000000"/>
          <w:lang w:val="zh-TW" w:eastAsia="zh-TW"/>
        </w:rPr>
        <w:t>元），甲方有权解除本合同。</w:t>
      </w:r>
    </w:p>
    <w:p w14:paraId="6D8B9999">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十一、违约责任</w:t>
      </w:r>
    </w:p>
    <w:p w14:paraId="1F906D82">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1.</w:t>
      </w:r>
      <w:r>
        <w:rPr>
          <w:rFonts w:hint="eastAsia" w:ascii="宋体" w:hAnsi="宋体" w:eastAsia="宋体" w:cs="宋体"/>
          <w:color w:val="auto"/>
          <w:sz w:val="21"/>
          <w:szCs w:val="21"/>
          <w:highlight w:val="none"/>
          <w:u w:color="000000"/>
          <w:lang w:val="zh-TW" w:eastAsia="zh-TW"/>
        </w:rPr>
        <w:t>若甲方向乙方提供的各类图片、文字资料不真实、不准确或相关的各种批文存在权利瑕疵或其合法性、真实性存在瑕疵，甲方应赔偿乙方由此而造成的相关损失。</w:t>
      </w:r>
    </w:p>
    <w:p w14:paraId="02C5CF80">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2.</w:t>
      </w:r>
      <w:r>
        <w:rPr>
          <w:rFonts w:hint="eastAsia" w:ascii="宋体" w:hAnsi="宋体" w:eastAsia="宋体" w:cs="宋体"/>
          <w:color w:val="auto"/>
          <w:sz w:val="21"/>
          <w:szCs w:val="21"/>
          <w:highlight w:val="none"/>
          <w:u w:color="000000"/>
          <w:lang w:val="zh-TW" w:eastAsia="zh-TW"/>
        </w:rPr>
        <w:t>若甲方未于约定期限内对乙方提交的工作成果进行验收或修改、确认，由此造成的延误损失由甲方自行承担。</w:t>
      </w:r>
    </w:p>
    <w:p w14:paraId="79B6089C">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3.</w:t>
      </w:r>
      <w:r>
        <w:rPr>
          <w:rFonts w:hint="eastAsia" w:ascii="宋体" w:hAnsi="宋体" w:eastAsia="宋体" w:cs="宋体"/>
          <w:color w:val="auto"/>
          <w:sz w:val="21"/>
          <w:szCs w:val="21"/>
          <w:highlight w:val="none"/>
          <w:u w:color="000000"/>
          <w:lang w:val="zh-TW" w:eastAsia="zh-TW"/>
        </w:rPr>
        <w:t>任何一方违约导致本合同履行不能或其合同目的无法实现，守约方可以单方解除本合同，守约方因此支出的各项维权费用（包括但不限于律师费、差旅费等）应由违约方承担。</w:t>
      </w:r>
    </w:p>
    <w:p w14:paraId="577541D5">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4.</w:t>
      </w:r>
      <w:r>
        <w:rPr>
          <w:rFonts w:hint="eastAsia" w:ascii="宋体" w:hAnsi="宋体" w:eastAsia="宋体" w:cs="宋体"/>
          <w:color w:val="auto"/>
          <w:sz w:val="21"/>
          <w:szCs w:val="21"/>
          <w:highlight w:val="none"/>
          <w:u w:color="000000"/>
          <w:lang w:val="zh-TW" w:eastAsia="zh-TW"/>
        </w:rPr>
        <w:t>乙方应当按</w:t>
      </w:r>
      <w:r>
        <w:rPr>
          <w:rFonts w:hint="eastAsia" w:ascii="宋体" w:hAnsi="宋体" w:eastAsia="宋体" w:cs="宋体"/>
          <w:color w:val="auto"/>
          <w:sz w:val="21"/>
          <w:szCs w:val="21"/>
          <w:highlight w:val="none"/>
          <w:u w:color="000000"/>
        </w:rPr>
        <w:t>甲方要求</w:t>
      </w:r>
      <w:r>
        <w:rPr>
          <w:rFonts w:hint="eastAsia" w:ascii="宋体" w:hAnsi="宋体" w:eastAsia="宋体" w:cs="宋体"/>
          <w:color w:val="auto"/>
          <w:sz w:val="21"/>
          <w:szCs w:val="21"/>
          <w:highlight w:val="none"/>
          <w:u w:color="000000"/>
          <w:lang w:val="zh-TW" w:eastAsia="zh-TW"/>
        </w:rPr>
        <w:t>的工作时间完成服务内容，否则，每逾期一天，乙方应当按甲方当月应付服务费用的</w:t>
      </w:r>
      <w:r>
        <w:rPr>
          <w:rFonts w:hint="eastAsia" w:ascii="宋体" w:hAnsi="宋体" w:eastAsia="宋体" w:cs="宋体"/>
          <w:color w:val="auto"/>
          <w:sz w:val="21"/>
          <w:szCs w:val="21"/>
          <w:highlight w:val="none"/>
          <w:u w:color="000000"/>
          <w:lang w:val="zh-TW"/>
        </w:rPr>
        <w:t>0</w:t>
      </w:r>
      <w:r>
        <w:rPr>
          <w:rFonts w:hint="eastAsia" w:ascii="宋体" w:hAnsi="宋体" w:eastAsia="宋体" w:cs="宋体"/>
          <w:color w:val="auto"/>
          <w:sz w:val="21"/>
          <w:szCs w:val="21"/>
          <w:highlight w:val="none"/>
          <w:u w:color="000000"/>
          <w:lang w:val="zh-TW" w:eastAsia="zh-TW"/>
        </w:rPr>
        <w:t>.</w:t>
      </w:r>
      <w:r>
        <w:rPr>
          <w:rFonts w:hint="eastAsia" w:ascii="宋体" w:hAnsi="宋体" w:eastAsia="宋体" w:cs="宋体"/>
          <w:color w:val="auto"/>
          <w:sz w:val="21"/>
          <w:szCs w:val="21"/>
          <w:highlight w:val="none"/>
          <w:u w:color="000000"/>
          <w:lang w:val="zh-TW"/>
        </w:rPr>
        <w:t>3</w:t>
      </w:r>
      <w:r>
        <w:rPr>
          <w:rFonts w:hint="eastAsia" w:ascii="宋体" w:hAnsi="宋体" w:eastAsia="宋体" w:cs="宋体"/>
          <w:color w:val="auto"/>
          <w:sz w:val="21"/>
          <w:szCs w:val="21"/>
          <w:highlight w:val="none"/>
          <w:u w:color="000000"/>
          <w:lang w:val="zh-TW" w:eastAsia="zh-TW"/>
        </w:rPr>
        <w:t>%为标准支付违约金，且甲方有权于支付日作相应延迟；若乙方逾期超过7天，或者其工作成果整改三次仍不符合甲方要求，则甲方有权单方面解除合同，乙方应当赔偿甲方因此遭受的全部损失。</w:t>
      </w:r>
    </w:p>
    <w:p w14:paraId="486B6E35">
      <w:pPr>
        <w:pStyle w:val="16"/>
        <w:pageBreakBefore w:val="0"/>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b/>
          <w:bCs/>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5.</w:t>
      </w:r>
      <w:r>
        <w:rPr>
          <w:rFonts w:hint="eastAsia" w:ascii="宋体" w:hAnsi="宋体" w:eastAsia="宋体" w:cs="宋体"/>
          <w:color w:val="auto"/>
          <w:sz w:val="21"/>
          <w:szCs w:val="21"/>
          <w:highlight w:val="none"/>
          <w:u w:color="000000"/>
          <w:lang w:val="zh-TW" w:eastAsia="zh-TW"/>
        </w:rPr>
        <w:t>乙方应保证其向甲方提供的策划、创意、设计等内容不会侵害任何第三方的合法权益，否则由此发生的各种法律责任一律由乙方承担；若甲方因此造成各种损失，甲方有权于承担赔偿责任后向乙方追偿，</w:t>
      </w:r>
      <w:r>
        <w:rPr>
          <w:rFonts w:hint="eastAsia" w:ascii="宋体" w:hAnsi="宋体" w:eastAsia="宋体" w:cs="宋体"/>
          <w:b w:val="0"/>
          <w:bCs w:val="0"/>
          <w:color w:val="auto"/>
          <w:sz w:val="21"/>
          <w:szCs w:val="21"/>
          <w:highlight w:val="none"/>
          <w:u w:color="000000"/>
          <w:lang w:val="zh-TW" w:eastAsia="zh-TW"/>
        </w:rPr>
        <w:t>并有权立即解除合同，乙方应赔偿因其违约而给甲方造成的全部损失。</w:t>
      </w:r>
    </w:p>
    <w:p w14:paraId="5C6FBB52">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十二、通知送达</w:t>
      </w:r>
    </w:p>
    <w:p w14:paraId="5BC41E77">
      <w:pPr>
        <w:widowControl w:val="0"/>
        <w:shd w:val="clear" w:color="auto" w:fill="auto"/>
        <w:spacing w:line="360" w:lineRule="auto"/>
        <w:ind w:firstLine="420" w:firstLineChars="200"/>
        <w:jc w:val="both"/>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zh-TW" w:eastAsia="zh-TW" w:bidi="ar-SA"/>
        </w:rPr>
        <w:t>双方确认本合同上之联系方式包括电话、</w:t>
      </w:r>
      <w:r>
        <w:rPr>
          <w:rFonts w:hint="eastAsia" w:ascii="宋体" w:hAnsi="宋体" w:eastAsia="宋体" w:cs="宋体"/>
          <w:color w:val="auto"/>
          <w:kern w:val="0"/>
          <w:sz w:val="21"/>
          <w:szCs w:val="21"/>
          <w:highlight w:val="none"/>
          <w:lang w:val="zh-TW" w:eastAsia="zh-CN" w:bidi="ar-SA"/>
        </w:rPr>
        <w:t>E</w:t>
      </w:r>
      <w:r>
        <w:rPr>
          <w:rFonts w:hint="eastAsia" w:ascii="宋体" w:hAnsi="宋体" w:eastAsia="宋体" w:cs="宋体"/>
          <w:color w:val="auto"/>
          <w:kern w:val="0"/>
          <w:sz w:val="21"/>
          <w:szCs w:val="21"/>
          <w:highlight w:val="none"/>
          <w:lang w:val="zh-TW" w:eastAsia="zh-TW" w:bidi="ar-SA"/>
        </w:rPr>
        <w:t>-</w:t>
      </w:r>
      <w:r>
        <w:rPr>
          <w:rFonts w:hint="eastAsia" w:ascii="宋体" w:hAnsi="宋体" w:eastAsia="宋体" w:cs="宋体"/>
          <w:color w:val="auto"/>
          <w:kern w:val="0"/>
          <w:sz w:val="21"/>
          <w:szCs w:val="21"/>
          <w:highlight w:val="none"/>
          <w:lang w:val="zh-TW" w:eastAsia="zh-CN" w:bidi="ar-SA"/>
        </w:rPr>
        <w:t>mail</w:t>
      </w:r>
      <w:r>
        <w:rPr>
          <w:rFonts w:hint="eastAsia" w:ascii="宋体" w:hAnsi="宋体" w:eastAsia="宋体" w:cs="宋体"/>
          <w:color w:val="auto"/>
          <w:kern w:val="0"/>
          <w:sz w:val="21"/>
          <w:szCs w:val="21"/>
          <w:highlight w:val="none"/>
          <w:lang w:val="zh-TW" w:eastAsia="zh-TW" w:bidi="ar-SA"/>
        </w:rPr>
        <w:t>、通讯地址等为有效联系方式。如任何一方前述联系方式有改变，须在变动前三日内以书面形式通知对方，否则，因此产生的一切损失由责任方自行承担。各方按本合同的联系方式通知对方，以信函方式送达的，以对方签收日期或信函交邮后七日视为送达；以电子邮件或手机短信方式送达的，以邮箱或手机提示成功送达视为送达。</w:t>
      </w:r>
    </w:p>
    <w:tbl>
      <w:tblPr>
        <w:tblStyle w:val="34"/>
        <w:tblW w:w="0" w:type="auto"/>
        <w:jc w:val="center"/>
        <w:tblLayout w:type="autofit"/>
        <w:tblCellMar>
          <w:top w:w="0" w:type="dxa"/>
          <w:left w:w="108" w:type="dxa"/>
          <w:bottom w:w="0" w:type="dxa"/>
          <w:right w:w="108" w:type="dxa"/>
        </w:tblCellMar>
      </w:tblPr>
      <w:tblGrid>
        <w:gridCol w:w="3960"/>
        <w:gridCol w:w="3960"/>
      </w:tblGrid>
      <w:tr w14:paraId="42D2AC7A">
        <w:tblPrEx>
          <w:tblCellMar>
            <w:top w:w="0" w:type="dxa"/>
            <w:left w:w="108" w:type="dxa"/>
            <w:bottom w:w="0" w:type="dxa"/>
            <w:right w:w="108" w:type="dxa"/>
          </w:tblCellMar>
        </w:tblPrEx>
        <w:trPr>
          <w:jc w:val="center"/>
        </w:trPr>
        <w:tc>
          <w:tcPr>
            <w:tcW w:w="3960" w:type="dxa"/>
            <w:noWrap w:val="0"/>
            <w:vAlign w:val="top"/>
          </w:tcPr>
          <w:p w14:paraId="69774E2C">
            <w:pPr>
              <w:shd w:val="clear" w:color="auto" w:fill="auto"/>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甲    方：</w:t>
            </w:r>
            <w:r>
              <w:rPr>
                <w:rFonts w:hint="eastAsia" w:ascii="宋体" w:hAnsi="宋体" w:cs="宋体"/>
                <w:bCs/>
                <w:snapToGrid w:val="0"/>
                <w:color w:val="auto"/>
                <w:kern w:val="0"/>
                <w:szCs w:val="21"/>
                <w:highlight w:val="none"/>
                <w:u w:val="single"/>
              </w:rPr>
              <w:t xml:space="preserve">                   </w:t>
            </w:r>
          </w:p>
          <w:p w14:paraId="1C273FCD">
            <w:pPr>
              <w:shd w:val="clear" w:color="auto" w:fill="auto"/>
              <w:tabs>
                <w:tab w:val="left" w:pos="1140"/>
              </w:tabs>
              <w:spacing w:line="360" w:lineRule="auto"/>
              <w:rPr>
                <w:rFonts w:hint="eastAsia" w:ascii="宋体" w:hAnsi="宋体" w:cs="宋体"/>
                <w:bCs/>
                <w:snapToGrid w:val="0"/>
                <w:color w:val="auto"/>
                <w:kern w:val="0"/>
                <w:szCs w:val="21"/>
                <w:highlight w:val="none"/>
                <w:u w:val="single"/>
              </w:rPr>
            </w:pPr>
            <w:r>
              <w:rPr>
                <w:rFonts w:hint="eastAsia" w:ascii="宋体" w:hAnsi="宋体" w:cs="宋体"/>
                <w:bCs/>
                <w:snapToGrid w:val="0"/>
                <w:color w:val="auto"/>
                <w:kern w:val="0"/>
                <w:szCs w:val="21"/>
                <w:highlight w:val="none"/>
              </w:rPr>
              <w:t>授权代表：</w:t>
            </w:r>
            <w:r>
              <w:rPr>
                <w:rFonts w:hint="eastAsia" w:ascii="宋体" w:hAnsi="宋体" w:cs="宋体"/>
                <w:bCs/>
                <w:snapToGrid w:val="0"/>
                <w:color w:val="auto"/>
                <w:kern w:val="0"/>
                <w:szCs w:val="21"/>
                <w:highlight w:val="none"/>
                <w:u w:val="single"/>
              </w:rPr>
              <w:t xml:space="preserve">                   </w:t>
            </w:r>
          </w:p>
          <w:p w14:paraId="777CFB53">
            <w:pPr>
              <w:shd w:val="clear" w:color="auto" w:fill="auto"/>
              <w:tabs>
                <w:tab w:val="left" w:pos="1140"/>
              </w:tabs>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联系电话：</w:t>
            </w:r>
            <w:r>
              <w:rPr>
                <w:rFonts w:hint="eastAsia" w:ascii="宋体" w:hAnsi="宋体" w:cs="宋体"/>
                <w:bCs/>
                <w:snapToGrid w:val="0"/>
                <w:color w:val="auto"/>
                <w:kern w:val="0"/>
                <w:szCs w:val="21"/>
                <w:highlight w:val="none"/>
                <w:u w:val="single"/>
              </w:rPr>
              <w:t xml:space="preserve">                   </w:t>
            </w:r>
          </w:p>
          <w:p w14:paraId="3815CC2A">
            <w:pPr>
              <w:shd w:val="clear" w:color="auto" w:fill="auto"/>
              <w:tabs>
                <w:tab w:val="left" w:pos="1140"/>
              </w:tabs>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联系地址：</w:t>
            </w:r>
            <w:r>
              <w:rPr>
                <w:rFonts w:hint="eastAsia" w:ascii="宋体" w:hAnsi="宋体" w:cs="宋体"/>
                <w:bCs/>
                <w:snapToGrid w:val="0"/>
                <w:color w:val="auto"/>
                <w:kern w:val="0"/>
                <w:szCs w:val="21"/>
                <w:highlight w:val="none"/>
                <w:u w:val="single"/>
              </w:rPr>
              <w:t xml:space="preserve">                   </w:t>
            </w:r>
          </w:p>
          <w:p w14:paraId="33F46C20">
            <w:pPr>
              <w:shd w:val="clear" w:color="auto" w:fill="auto"/>
              <w:tabs>
                <w:tab w:val="left" w:pos="1140"/>
              </w:tabs>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电子邮箱：</w:t>
            </w:r>
            <w:r>
              <w:rPr>
                <w:rFonts w:hint="eastAsia" w:ascii="宋体" w:hAnsi="宋体" w:cs="宋体"/>
                <w:bCs/>
                <w:snapToGrid w:val="0"/>
                <w:color w:val="auto"/>
                <w:kern w:val="0"/>
                <w:szCs w:val="21"/>
                <w:highlight w:val="none"/>
                <w:u w:val="single"/>
              </w:rPr>
              <w:t xml:space="preserve">                   </w:t>
            </w:r>
          </w:p>
          <w:p w14:paraId="00DD096A">
            <w:pPr>
              <w:shd w:val="clear" w:color="auto" w:fill="auto"/>
              <w:tabs>
                <w:tab w:val="left" w:pos="1140"/>
              </w:tabs>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邮政编码：</w:t>
            </w:r>
            <w:r>
              <w:rPr>
                <w:rFonts w:hint="eastAsia" w:ascii="宋体" w:hAnsi="宋体" w:cs="宋体"/>
                <w:bCs/>
                <w:snapToGrid w:val="0"/>
                <w:color w:val="auto"/>
                <w:kern w:val="0"/>
                <w:szCs w:val="21"/>
                <w:highlight w:val="none"/>
                <w:u w:val="single"/>
              </w:rPr>
              <w:t xml:space="preserve">                   </w:t>
            </w:r>
          </w:p>
        </w:tc>
        <w:tc>
          <w:tcPr>
            <w:tcW w:w="3960" w:type="dxa"/>
            <w:noWrap w:val="0"/>
            <w:vAlign w:val="top"/>
          </w:tcPr>
          <w:p w14:paraId="7DDC5865">
            <w:pPr>
              <w:shd w:val="clear" w:color="auto" w:fill="auto"/>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乙    方：</w:t>
            </w:r>
            <w:r>
              <w:rPr>
                <w:rFonts w:hint="eastAsia" w:ascii="宋体" w:hAnsi="宋体" w:cs="宋体"/>
                <w:bCs/>
                <w:snapToGrid w:val="0"/>
                <w:color w:val="auto"/>
                <w:kern w:val="0"/>
                <w:szCs w:val="21"/>
                <w:highlight w:val="none"/>
                <w:u w:val="single"/>
              </w:rPr>
              <w:t xml:space="preserve">                   </w:t>
            </w:r>
          </w:p>
          <w:p w14:paraId="5B8338F3">
            <w:pPr>
              <w:shd w:val="clear" w:color="auto" w:fill="auto"/>
              <w:tabs>
                <w:tab w:val="left" w:pos="1140"/>
              </w:tabs>
              <w:spacing w:line="360" w:lineRule="auto"/>
              <w:rPr>
                <w:rFonts w:hint="eastAsia" w:ascii="宋体" w:hAnsi="宋体" w:cs="宋体"/>
                <w:bCs/>
                <w:snapToGrid w:val="0"/>
                <w:color w:val="auto"/>
                <w:kern w:val="0"/>
                <w:szCs w:val="21"/>
                <w:highlight w:val="none"/>
                <w:u w:val="single"/>
              </w:rPr>
            </w:pPr>
            <w:r>
              <w:rPr>
                <w:rFonts w:hint="eastAsia" w:ascii="宋体" w:hAnsi="宋体" w:cs="宋体"/>
                <w:bCs/>
                <w:snapToGrid w:val="0"/>
                <w:color w:val="auto"/>
                <w:kern w:val="0"/>
                <w:szCs w:val="21"/>
                <w:highlight w:val="none"/>
              </w:rPr>
              <w:t>授权代表：</w:t>
            </w:r>
            <w:r>
              <w:rPr>
                <w:rFonts w:hint="eastAsia" w:ascii="宋体" w:hAnsi="宋体" w:cs="宋体"/>
                <w:bCs/>
                <w:snapToGrid w:val="0"/>
                <w:color w:val="auto"/>
                <w:kern w:val="0"/>
                <w:szCs w:val="21"/>
                <w:highlight w:val="none"/>
                <w:u w:val="single"/>
              </w:rPr>
              <w:t xml:space="preserve">                   </w:t>
            </w:r>
          </w:p>
          <w:p w14:paraId="31354210">
            <w:pPr>
              <w:shd w:val="clear" w:color="auto" w:fill="auto"/>
              <w:tabs>
                <w:tab w:val="left" w:pos="1140"/>
              </w:tabs>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联系电话：</w:t>
            </w:r>
            <w:r>
              <w:rPr>
                <w:rFonts w:hint="eastAsia" w:ascii="宋体" w:hAnsi="宋体" w:cs="宋体"/>
                <w:bCs/>
                <w:snapToGrid w:val="0"/>
                <w:color w:val="auto"/>
                <w:kern w:val="0"/>
                <w:szCs w:val="21"/>
                <w:highlight w:val="none"/>
                <w:u w:val="single"/>
              </w:rPr>
              <w:t xml:space="preserve">                   </w:t>
            </w:r>
          </w:p>
          <w:p w14:paraId="7CDBAA5D">
            <w:pPr>
              <w:shd w:val="clear" w:color="auto" w:fill="auto"/>
              <w:tabs>
                <w:tab w:val="left" w:pos="1140"/>
              </w:tabs>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联系地址：</w:t>
            </w:r>
            <w:r>
              <w:rPr>
                <w:rFonts w:hint="eastAsia" w:ascii="宋体" w:hAnsi="宋体" w:cs="宋体"/>
                <w:bCs/>
                <w:snapToGrid w:val="0"/>
                <w:color w:val="auto"/>
                <w:kern w:val="0"/>
                <w:szCs w:val="21"/>
                <w:highlight w:val="none"/>
                <w:u w:val="single"/>
              </w:rPr>
              <w:t xml:space="preserve">                   </w:t>
            </w:r>
          </w:p>
          <w:p w14:paraId="42A91D5B">
            <w:pPr>
              <w:shd w:val="clear" w:color="auto" w:fill="auto"/>
              <w:tabs>
                <w:tab w:val="left" w:pos="1140"/>
              </w:tabs>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电子邮箱：</w:t>
            </w:r>
            <w:r>
              <w:rPr>
                <w:rFonts w:hint="eastAsia" w:ascii="宋体" w:hAnsi="宋体" w:cs="宋体"/>
                <w:bCs/>
                <w:snapToGrid w:val="0"/>
                <w:color w:val="auto"/>
                <w:kern w:val="0"/>
                <w:szCs w:val="21"/>
                <w:highlight w:val="none"/>
                <w:u w:val="single"/>
              </w:rPr>
              <w:t xml:space="preserve">                   </w:t>
            </w:r>
          </w:p>
          <w:p w14:paraId="686329BD">
            <w:pPr>
              <w:shd w:val="clear" w:color="auto" w:fill="auto"/>
              <w:tabs>
                <w:tab w:val="left" w:pos="1140"/>
              </w:tabs>
              <w:spacing w:line="360" w:lineRule="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邮政编码：</w:t>
            </w:r>
            <w:r>
              <w:rPr>
                <w:rFonts w:hint="eastAsia" w:ascii="宋体" w:hAnsi="宋体" w:cs="宋体"/>
                <w:bCs/>
                <w:snapToGrid w:val="0"/>
                <w:color w:val="auto"/>
                <w:kern w:val="0"/>
                <w:szCs w:val="21"/>
                <w:highlight w:val="none"/>
                <w:u w:val="single"/>
              </w:rPr>
              <w:t xml:space="preserve">                   </w:t>
            </w:r>
          </w:p>
        </w:tc>
      </w:tr>
    </w:tbl>
    <w:p w14:paraId="48DC0723">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十三、不可抗力</w:t>
      </w:r>
    </w:p>
    <w:p w14:paraId="70B877E4">
      <w:pPr>
        <w:pStyle w:val="25"/>
        <w:pageBreakBefore w:val="0"/>
        <w:pBdr>
          <w:bottom w:val="none" w:color="auto" w:sz="0" w:space="0"/>
        </w:pBdr>
        <w:tabs>
          <w:tab w:val="left" w:pos="3960"/>
        </w:tabs>
        <w:kinsoku/>
        <w:wordWrap/>
        <w:overflowPunct/>
        <w:topLinePunct w:val="0"/>
        <w:autoSpaceDE/>
        <w:autoSpaceDN/>
        <w:bidi w:val="0"/>
        <w:adjustRightInd w:val="0"/>
        <w:snapToGrid w:val="0"/>
        <w:spacing w:line="360" w:lineRule="auto"/>
        <w:ind w:left="0" w:leftChars="0" w:right="0" w:firstLine="420" w:firstLineChars="200"/>
        <w:jc w:val="both"/>
        <w:outlineLvl w:val="9"/>
        <w:rPr>
          <w:rFonts w:hint="eastAsia" w:ascii="宋体" w:hAnsi="宋体" w:cs="宋体"/>
          <w:color w:val="auto"/>
          <w:sz w:val="21"/>
          <w:szCs w:val="21"/>
          <w:highlight w:val="none"/>
          <w:lang w:val="zh-TW" w:eastAsia="zh-TW"/>
        </w:rPr>
      </w:pPr>
      <w:r>
        <w:rPr>
          <w:rFonts w:hint="eastAsia" w:ascii="宋体" w:hAnsi="宋体" w:eastAsia="宋体" w:cs="宋体"/>
          <w:color w:val="auto"/>
          <w:sz w:val="21"/>
          <w:szCs w:val="21"/>
          <w:highlight w:val="none"/>
          <w:u w:color="000000"/>
          <w:lang w:val="zh-TW" w:eastAsia="zh-TW"/>
        </w:rPr>
        <w:t>不可抗力主要包括的内容：</w:t>
      </w:r>
      <w:r>
        <w:rPr>
          <w:rFonts w:hint="eastAsia" w:ascii="宋体" w:hAnsi="宋体" w:cs="宋体"/>
          <w:color w:val="auto"/>
          <w:sz w:val="21"/>
          <w:szCs w:val="21"/>
          <w:highlight w:val="none"/>
          <w:lang w:val="zh-TW" w:eastAsia="zh-TW"/>
        </w:rPr>
        <w:t>（1）自然灾害、战争、动乱等不可抗力因素；（2）政府行为导致本合同无法履行的。</w:t>
      </w:r>
    </w:p>
    <w:p w14:paraId="7EE0D3E0">
      <w:pPr>
        <w:pStyle w:val="25"/>
        <w:pageBreakBefore w:val="0"/>
        <w:pBdr>
          <w:bottom w:val="none" w:color="auto" w:sz="0" w:space="0"/>
        </w:pBdr>
        <w:tabs>
          <w:tab w:val="left" w:pos="3960"/>
        </w:tabs>
        <w:kinsoku/>
        <w:wordWrap/>
        <w:overflowPunct/>
        <w:topLinePunct w:val="0"/>
        <w:autoSpaceDE/>
        <w:autoSpaceDN/>
        <w:bidi w:val="0"/>
        <w:adjustRightInd w:val="0"/>
        <w:snapToGrid w:val="0"/>
        <w:spacing w:line="360" w:lineRule="auto"/>
        <w:ind w:left="0" w:leftChars="0" w:righ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color="000000"/>
          <w:lang w:val="zh-TW" w:eastAsia="zh-TW"/>
        </w:rPr>
        <w:t>因不可抗力不能履行合同，根据不可抗力的影响，部分或全部免除责任；</w:t>
      </w:r>
    </w:p>
    <w:p w14:paraId="122D386E">
      <w:pPr>
        <w:pStyle w:val="25"/>
        <w:pageBreakBefore w:val="0"/>
        <w:pBdr>
          <w:bottom w:val="none" w:color="auto" w:sz="0" w:space="0"/>
        </w:pBdr>
        <w:tabs>
          <w:tab w:val="left" w:pos="3960"/>
        </w:tabs>
        <w:kinsoku/>
        <w:wordWrap/>
        <w:overflowPunct/>
        <w:topLinePunct w:val="0"/>
        <w:autoSpaceDE/>
        <w:autoSpaceDN/>
        <w:bidi w:val="0"/>
        <w:adjustRightInd w:val="0"/>
        <w:snapToGrid w:val="0"/>
        <w:spacing w:line="360" w:lineRule="auto"/>
        <w:ind w:left="0" w:leftChars="0" w:right="0" w:firstLine="420" w:firstLineChars="200"/>
        <w:jc w:val="both"/>
        <w:outlineLvl w:val="9"/>
        <w:rPr>
          <w:rFonts w:hint="eastAsia" w:ascii="宋体" w:hAnsi="宋体" w:eastAsia="宋体" w:cs="宋体"/>
          <w:color w:val="auto"/>
          <w:sz w:val="21"/>
          <w:szCs w:val="21"/>
          <w:highlight w:val="none"/>
          <w:u w:color="000000"/>
          <w:lang w:val="zh-TW"/>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color="000000"/>
          <w:lang w:val="zh-TW" w:eastAsia="zh-TW"/>
        </w:rPr>
        <w:t>一方因不可抗力不能履行合同的</w:t>
      </w:r>
      <w:r>
        <w:rPr>
          <w:rFonts w:hint="eastAsia" w:ascii="宋体" w:hAnsi="宋体" w:eastAsia="宋体" w:cs="宋体"/>
          <w:color w:val="auto"/>
          <w:sz w:val="21"/>
          <w:szCs w:val="21"/>
          <w:highlight w:val="none"/>
          <w:u w:color="000000"/>
          <w:lang w:val="zh-TW"/>
        </w:rPr>
        <w:t>，</w:t>
      </w:r>
      <w:r>
        <w:rPr>
          <w:rFonts w:hint="eastAsia" w:ascii="宋体" w:hAnsi="宋体" w:eastAsia="宋体" w:cs="宋体"/>
          <w:color w:val="auto"/>
          <w:sz w:val="21"/>
          <w:szCs w:val="21"/>
          <w:highlight w:val="none"/>
          <w:u w:color="000000"/>
          <w:lang w:val="zh-TW" w:eastAsia="zh-TW"/>
        </w:rPr>
        <w:t>应在不可抗力发生后两日内将不可抗力事件书面通知另一方；发生不可抗力时，双方均应采取一切措施，最大程度地减少不可抗力给任何一方造成的损失。</w:t>
      </w:r>
    </w:p>
    <w:p w14:paraId="6BDA97C5">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十四、适用法律及争议解决</w:t>
      </w:r>
    </w:p>
    <w:p w14:paraId="0A5DFE85">
      <w:pPr>
        <w:widowControl w:val="0"/>
        <w:pBdr>
          <w:bottom w:val="none" w:color="auto" w:sz="0" w:space="0"/>
        </w:pBdr>
        <w:shd w:val="clear" w:color="auto" w:fill="auto"/>
        <w:tabs>
          <w:tab w:val="left" w:pos="3960"/>
          <w:tab w:val="center" w:pos="4153"/>
          <w:tab w:val="right" w:pos="8306"/>
        </w:tabs>
        <w:snapToGrid w:val="0"/>
        <w:spacing w:line="360" w:lineRule="auto"/>
        <w:ind w:firstLine="420" w:firstLineChars="200"/>
        <w:jc w:val="both"/>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zh-TW" w:eastAsia="zh-TW" w:bidi="ar-SA"/>
        </w:rPr>
        <w:t>对于因本合同而产生的争议，双方应首先友好协商解决；</w:t>
      </w:r>
      <w:r>
        <w:rPr>
          <w:rFonts w:hint="eastAsia" w:ascii="宋体" w:hAnsi="宋体" w:cs="宋体"/>
          <w:color w:val="auto"/>
          <w:sz w:val="21"/>
          <w:szCs w:val="21"/>
          <w:highlight w:val="none"/>
          <w:lang w:val="zh-TW" w:eastAsia="zh-TW"/>
        </w:rPr>
        <w:t>若协商不成，双方约定根据中华人民共和国有关法律规定向本合同签订地的人民法院提起诉讼</w:t>
      </w:r>
      <w:r>
        <w:rPr>
          <w:rFonts w:hint="eastAsia" w:ascii="宋体" w:hAnsi="宋体" w:eastAsia="宋体" w:cs="宋体"/>
          <w:color w:val="auto"/>
          <w:kern w:val="0"/>
          <w:sz w:val="21"/>
          <w:szCs w:val="21"/>
          <w:highlight w:val="none"/>
          <w:lang w:val="zh-TW" w:eastAsia="zh-TW" w:bidi="ar-SA"/>
        </w:rPr>
        <w:t>。</w:t>
      </w:r>
    </w:p>
    <w:p w14:paraId="2B42F017">
      <w:pPr>
        <w:widowControl w:val="0"/>
        <w:pBdr>
          <w:bottom w:val="none" w:color="auto" w:sz="0" w:space="0"/>
        </w:pBdr>
        <w:shd w:val="clear" w:color="auto" w:fill="auto"/>
        <w:tabs>
          <w:tab w:val="left" w:pos="3960"/>
          <w:tab w:val="center" w:pos="4153"/>
          <w:tab w:val="right" w:pos="8306"/>
        </w:tabs>
        <w:snapToGrid w:val="0"/>
        <w:spacing w:line="360" w:lineRule="auto"/>
        <w:ind w:firstLine="420" w:firstLineChars="200"/>
        <w:jc w:val="both"/>
        <w:rPr>
          <w:rFonts w:hint="default"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本合同签订地：</w:t>
      </w:r>
      <w:r>
        <w:rPr>
          <w:rFonts w:hint="eastAsia" w:ascii="宋体" w:hAnsi="宋体" w:eastAsia="宋体" w:cs="宋体"/>
          <w:color w:val="auto"/>
          <w:kern w:val="0"/>
          <w:sz w:val="21"/>
          <w:szCs w:val="21"/>
          <w:highlight w:val="none"/>
          <w:u w:val="single"/>
          <w:lang w:val="en-US" w:eastAsia="zh-CN" w:bidi="ar-SA"/>
        </w:rPr>
        <w:t xml:space="preserve">  扬州市邗江区  </w:t>
      </w:r>
    </w:p>
    <w:p w14:paraId="7EECBFF9">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十五、合同生效</w:t>
      </w:r>
    </w:p>
    <w:p w14:paraId="5EB673CE">
      <w:pPr>
        <w:widowControl w:val="0"/>
        <w:pBdr>
          <w:bottom w:val="none" w:color="auto" w:sz="0" w:space="0"/>
        </w:pBdr>
        <w:shd w:val="clear" w:color="auto" w:fill="auto"/>
        <w:tabs>
          <w:tab w:val="left" w:pos="3960"/>
          <w:tab w:val="center" w:pos="4153"/>
          <w:tab w:val="right" w:pos="8306"/>
        </w:tabs>
        <w:snapToGrid w:val="0"/>
        <w:spacing w:line="360" w:lineRule="auto"/>
        <w:ind w:firstLine="420" w:firstLineChars="200"/>
        <w:jc w:val="both"/>
        <w:rPr>
          <w:rFonts w:hint="eastAsia" w:ascii="宋体" w:hAnsi="宋体" w:eastAsia="宋体" w:cs="宋体"/>
          <w:color w:val="auto"/>
          <w:kern w:val="0"/>
          <w:sz w:val="21"/>
          <w:szCs w:val="21"/>
          <w:highlight w:val="none"/>
          <w:lang w:val="zh-TW" w:eastAsia="zh-CN" w:bidi="ar-SA"/>
        </w:rPr>
      </w:pPr>
      <w:r>
        <w:rPr>
          <w:rFonts w:hint="eastAsia" w:ascii="宋体" w:hAnsi="宋体" w:cs="宋体"/>
          <w:color w:val="auto"/>
          <w:sz w:val="21"/>
          <w:szCs w:val="21"/>
          <w:highlight w:val="none"/>
          <w:lang w:val="zh-TW" w:eastAsia="zh-TW"/>
        </w:rPr>
        <w:t>本协议壹式</w:t>
      </w:r>
      <w:r>
        <w:rPr>
          <w:rFonts w:hint="eastAsia" w:ascii="宋体" w:hAnsi="宋体" w:cs="宋体"/>
          <w:color w:val="auto"/>
          <w:sz w:val="21"/>
          <w:szCs w:val="21"/>
          <w:highlight w:val="none"/>
        </w:rPr>
        <w:t>肆</w:t>
      </w:r>
      <w:r>
        <w:rPr>
          <w:rFonts w:hint="eastAsia" w:ascii="宋体" w:hAnsi="宋体" w:cs="宋体"/>
          <w:color w:val="auto"/>
          <w:sz w:val="21"/>
          <w:szCs w:val="21"/>
          <w:highlight w:val="none"/>
          <w:lang w:val="zh-TW" w:eastAsia="zh-TW"/>
        </w:rPr>
        <w:t>份，</w:t>
      </w:r>
      <w:r>
        <w:rPr>
          <w:rFonts w:hint="eastAsia" w:ascii="宋体" w:hAnsi="宋体" w:cs="宋体"/>
          <w:color w:val="auto"/>
          <w:sz w:val="21"/>
          <w:szCs w:val="21"/>
          <w:highlight w:val="none"/>
        </w:rPr>
        <w:t>甲乙双方各执贰份，</w:t>
      </w:r>
      <w:r>
        <w:rPr>
          <w:rFonts w:hint="eastAsia" w:ascii="宋体" w:hAnsi="宋体" w:cs="宋体"/>
          <w:color w:val="auto"/>
          <w:sz w:val="21"/>
          <w:szCs w:val="21"/>
          <w:highlight w:val="none"/>
          <w:lang w:val="zh-TW" w:eastAsia="zh-TW"/>
        </w:rPr>
        <w:t>具有同等法律效力。本协议自</w:t>
      </w:r>
      <w:r>
        <w:rPr>
          <w:rFonts w:hint="eastAsia" w:ascii="宋体" w:hAnsi="宋体" w:cs="宋体"/>
          <w:color w:val="auto"/>
          <w:sz w:val="21"/>
          <w:szCs w:val="21"/>
          <w:highlight w:val="none"/>
        </w:rPr>
        <w:t>三</w:t>
      </w:r>
      <w:r>
        <w:rPr>
          <w:rFonts w:hint="eastAsia" w:ascii="宋体" w:hAnsi="宋体" w:cs="宋体"/>
          <w:color w:val="auto"/>
          <w:sz w:val="21"/>
          <w:szCs w:val="21"/>
          <w:highlight w:val="none"/>
          <w:lang w:val="zh-TW" w:eastAsia="zh-TW"/>
        </w:rPr>
        <w:t>方盖章并签字之日起生效。本协议未尽事宜，甲、乙双方可另行协商解决</w:t>
      </w:r>
      <w:r>
        <w:rPr>
          <w:rFonts w:hint="eastAsia" w:ascii="宋体" w:hAnsi="宋体" w:eastAsia="宋体" w:cs="宋体"/>
          <w:color w:val="auto"/>
          <w:kern w:val="0"/>
          <w:sz w:val="21"/>
          <w:szCs w:val="21"/>
          <w:highlight w:val="none"/>
          <w:lang w:val="zh-TW" w:eastAsia="zh-TW" w:bidi="ar-SA"/>
        </w:rPr>
        <w:t>。</w:t>
      </w:r>
    </w:p>
    <w:p w14:paraId="653257B9">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十六、其他</w:t>
      </w:r>
    </w:p>
    <w:p w14:paraId="575C5109">
      <w:pPr>
        <w:pStyle w:val="25"/>
        <w:pageBreakBefore w:val="0"/>
        <w:pBdr>
          <w:bottom w:val="none" w:color="auto" w:sz="0" w:space="0"/>
        </w:pBdr>
        <w:tabs>
          <w:tab w:val="left" w:pos="3960"/>
        </w:tabs>
        <w:kinsoku/>
        <w:wordWrap/>
        <w:overflowPunct/>
        <w:topLinePunct w:val="0"/>
        <w:autoSpaceDE/>
        <w:autoSpaceDN/>
        <w:bidi w:val="0"/>
        <w:adjustRightInd w:val="0"/>
        <w:snapToGrid w:val="0"/>
        <w:spacing w:line="360" w:lineRule="auto"/>
        <w:ind w:left="0" w:leftChars="0" w:right="0" w:firstLine="420" w:firstLineChars="200"/>
        <w:jc w:val="both"/>
        <w:outlineLvl w:val="9"/>
        <w:rPr>
          <w:rFonts w:hint="eastAsia" w:ascii="宋体" w:hAnsi="宋体" w:eastAsia="宋体" w:cs="宋体"/>
          <w:color w:val="auto"/>
          <w:sz w:val="21"/>
          <w:szCs w:val="21"/>
          <w:highlight w:val="none"/>
          <w:u w:color="000000"/>
          <w:lang w:val="zh-TW"/>
        </w:rPr>
      </w:pPr>
      <w:r>
        <w:rPr>
          <w:rFonts w:hint="eastAsia" w:ascii="宋体" w:hAnsi="宋体" w:eastAsia="宋体" w:cs="宋体"/>
          <w:color w:val="auto"/>
          <w:sz w:val="21"/>
          <w:szCs w:val="21"/>
          <w:highlight w:val="none"/>
          <w:u w:color="000000"/>
          <w:lang w:val="zh-TW" w:eastAsia="zh-TW"/>
        </w:rPr>
        <w:t>本合同附件和本合同履行过程中产生的往来文件为本合同的一部分，与本合同具有同等法律效力。</w:t>
      </w:r>
    </w:p>
    <w:p w14:paraId="500490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B9DB7A4">
      <w:pPr>
        <w:pageBreakBefore w:val="0"/>
        <w:tabs>
          <w:tab w:val="left" w:pos="4140"/>
        </w:tabs>
        <w:kinsoku/>
        <w:wordWrap/>
        <w:overflowPunct/>
        <w:topLinePunct w:val="0"/>
        <w:autoSpaceDE/>
        <w:autoSpaceDN/>
        <w:bidi w:val="0"/>
        <w:adjustRightInd w:val="0"/>
        <w:snapToGrid w:val="0"/>
        <w:spacing w:line="360" w:lineRule="auto"/>
        <w:ind w:left="0" w:leftChars="0" w:right="0" w:firstLine="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（以下为合同签署页，无正文）</w:t>
      </w:r>
    </w:p>
    <w:tbl>
      <w:tblPr>
        <w:tblStyle w:val="35"/>
        <w:tblpPr w:leftFromText="180" w:rightFromText="180" w:vertAnchor="text" w:horzAnchor="page" w:tblpX="1215" w:tblpY="39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7"/>
      </w:tblGrid>
      <w:tr w14:paraId="5DAB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00" w:type="pct"/>
            <w:vAlign w:val="top"/>
          </w:tcPr>
          <w:p w14:paraId="3BA66F78">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甲方（盖章）：</w:t>
            </w:r>
          </w:p>
        </w:tc>
        <w:tc>
          <w:tcPr>
            <w:tcW w:w="2500" w:type="pct"/>
            <w:vAlign w:val="top"/>
          </w:tcPr>
          <w:p w14:paraId="0A211349">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乙方（盖章）：</w:t>
            </w:r>
          </w:p>
        </w:tc>
      </w:tr>
      <w:tr w14:paraId="7EA9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00" w:type="pct"/>
            <w:vAlign w:val="top"/>
          </w:tcPr>
          <w:p w14:paraId="59274E9D">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法定代表人或授权代表：</w:t>
            </w:r>
          </w:p>
        </w:tc>
        <w:tc>
          <w:tcPr>
            <w:tcW w:w="2500" w:type="pct"/>
            <w:vAlign w:val="top"/>
          </w:tcPr>
          <w:p w14:paraId="44ACD3D4">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法定代表人或授权代表：</w:t>
            </w:r>
          </w:p>
        </w:tc>
      </w:tr>
      <w:tr w14:paraId="5CC5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00" w:type="pct"/>
            <w:vAlign w:val="top"/>
          </w:tcPr>
          <w:p w14:paraId="7E693275">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电  话：</w:t>
            </w:r>
          </w:p>
        </w:tc>
        <w:tc>
          <w:tcPr>
            <w:tcW w:w="2500" w:type="pct"/>
            <w:vAlign w:val="top"/>
          </w:tcPr>
          <w:p w14:paraId="38F74E42">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电  话：</w:t>
            </w:r>
          </w:p>
        </w:tc>
      </w:tr>
      <w:tr w14:paraId="414D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00" w:type="pct"/>
            <w:vAlign w:val="top"/>
          </w:tcPr>
          <w:p w14:paraId="756554F0">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开户行：</w:t>
            </w:r>
          </w:p>
        </w:tc>
        <w:tc>
          <w:tcPr>
            <w:tcW w:w="2500" w:type="pct"/>
            <w:vAlign w:val="top"/>
          </w:tcPr>
          <w:p w14:paraId="4F486A13">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开户行：</w:t>
            </w:r>
          </w:p>
        </w:tc>
      </w:tr>
      <w:tr w14:paraId="51C9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00" w:type="pct"/>
            <w:vAlign w:val="top"/>
          </w:tcPr>
          <w:p w14:paraId="2AC7DE12">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账  号：</w:t>
            </w:r>
          </w:p>
        </w:tc>
        <w:tc>
          <w:tcPr>
            <w:tcW w:w="2500" w:type="pct"/>
            <w:vAlign w:val="top"/>
          </w:tcPr>
          <w:p w14:paraId="7E92A261">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账  号：</w:t>
            </w:r>
          </w:p>
        </w:tc>
      </w:tr>
      <w:tr w14:paraId="7D51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00" w:type="pct"/>
            <w:vAlign w:val="top"/>
          </w:tcPr>
          <w:p w14:paraId="091CDBFC">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aps/>
                <w:color w:val="auto"/>
                <w:sz w:val="21"/>
                <w:szCs w:val="21"/>
                <w:highlight w:val="none"/>
              </w:rPr>
            </w:pPr>
          </w:p>
        </w:tc>
        <w:tc>
          <w:tcPr>
            <w:tcW w:w="2500" w:type="pct"/>
            <w:vAlign w:val="top"/>
          </w:tcPr>
          <w:p w14:paraId="6815C674">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aps/>
                <w:color w:val="auto"/>
                <w:sz w:val="21"/>
                <w:szCs w:val="21"/>
                <w:highlight w:val="none"/>
              </w:rPr>
            </w:pPr>
          </w:p>
        </w:tc>
      </w:tr>
      <w:tr w14:paraId="589B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00" w:type="pct"/>
            <w:vAlign w:val="top"/>
          </w:tcPr>
          <w:p w14:paraId="653BF025">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aps/>
                <w:color w:val="auto"/>
                <w:sz w:val="21"/>
                <w:szCs w:val="21"/>
                <w:highlight w:val="none"/>
              </w:rPr>
            </w:pPr>
            <w:r>
              <w:rPr>
                <w:rFonts w:hint="eastAsia" w:ascii="宋体" w:hAnsi="宋体" w:eastAsia="宋体" w:cs="宋体"/>
                <w:color w:val="auto"/>
                <w:kern w:val="0"/>
                <w:sz w:val="21"/>
                <w:szCs w:val="21"/>
                <w:highlight w:val="none"/>
              </w:rPr>
              <w:t>见证方（盖章）:</w:t>
            </w:r>
          </w:p>
        </w:tc>
        <w:tc>
          <w:tcPr>
            <w:tcW w:w="2500" w:type="pct"/>
            <w:vAlign w:val="top"/>
          </w:tcPr>
          <w:p w14:paraId="3E2C612D">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aps/>
                <w:color w:val="auto"/>
                <w:sz w:val="21"/>
                <w:szCs w:val="21"/>
                <w:highlight w:val="none"/>
              </w:rPr>
            </w:pPr>
          </w:p>
        </w:tc>
      </w:tr>
      <w:tr w14:paraId="3CB4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00" w:type="pct"/>
            <w:vAlign w:val="top"/>
          </w:tcPr>
          <w:p w14:paraId="0FCC9E84">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aps/>
                <w:color w:val="auto"/>
                <w:sz w:val="21"/>
                <w:szCs w:val="21"/>
                <w:highlight w:val="none"/>
              </w:rPr>
            </w:pPr>
            <w:r>
              <w:rPr>
                <w:rFonts w:hint="eastAsia" w:ascii="宋体" w:hAnsi="宋体" w:eastAsia="宋体" w:cs="宋体"/>
                <w:color w:val="auto"/>
                <w:kern w:val="0"/>
                <w:sz w:val="21"/>
                <w:szCs w:val="21"/>
                <w:highlight w:val="none"/>
              </w:rPr>
              <w:t>代表人或项目负责人：</w:t>
            </w:r>
          </w:p>
        </w:tc>
        <w:tc>
          <w:tcPr>
            <w:tcW w:w="2500" w:type="pct"/>
            <w:vAlign w:val="top"/>
          </w:tcPr>
          <w:p w14:paraId="6987135B">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aps/>
                <w:color w:val="auto"/>
                <w:sz w:val="21"/>
                <w:szCs w:val="21"/>
                <w:highlight w:val="none"/>
              </w:rPr>
            </w:pPr>
          </w:p>
        </w:tc>
      </w:tr>
      <w:tr w14:paraId="5DDF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500" w:type="pct"/>
            <w:vAlign w:val="top"/>
          </w:tcPr>
          <w:p w14:paraId="12277C87">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kern w:val="0"/>
                <w:sz w:val="21"/>
                <w:szCs w:val="21"/>
                <w:highlight w:val="none"/>
              </w:rPr>
            </w:pPr>
          </w:p>
        </w:tc>
        <w:tc>
          <w:tcPr>
            <w:tcW w:w="2500" w:type="pct"/>
            <w:vAlign w:val="top"/>
          </w:tcPr>
          <w:p w14:paraId="2B2492B4">
            <w:pPr>
              <w:pageBreakBefore w:val="0"/>
              <w:kinsoku/>
              <w:wordWrap/>
              <w:overflowPunct/>
              <w:topLinePunct w:val="0"/>
              <w:autoSpaceDE/>
              <w:autoSpaceDN/>
              <w:bidi w:val="0"/>
              <w:adjustRightInd w:val="0"/>
              <w:snapToGrid w:val="0"/>
              <w:spacing w:line="360" w:lineRule="auto"/>
              <w:ind w:left="0" w:leftChars="0" w:right="0"/>
              <w:jc w:val="right"/>
              <w:outlineLvl w:val="9"/>
              <w:rPr>
                <w:rFonts w:hint="eastAsia" w:ascii="宋体" w:hAnsi="宋体" w:eastAsia="宋体" w:cs="宋体"/>
                <w:caps/>
                <w:color w:val="auto"/>
                <w:sz w:val="21"/>
                <w:szCs w:val="21"/>
                <w:highlight w:val="none"/>
              </w:rPr>
            </w:pPr>
            <w:r>
              <w:rPr>
                <w:rFonts w:hint="eastAsia" w:ascii="宋体" w:hAnsi="宋体" w:eastAsia="宋体" w:cs="宋体"/>
                <w:color w:val="auto"/>
                <w:kern w:val="0"/>
                <w:sz w:val="21"/>
                <w:szCs w:val="21"/>
                <w:highlight w:val="none"/>
              </w:rPr>
              <w:t>年    月     日</w:t>
            </w:r>
          </w:p>
        </w:tc>
      </w:tr>
    </w:tbl>
    <w:p w14:paraId="50B4CD81">
      <w:pPr>
        <w:pageBreakBefore w:val="0"/>
        <w:widowControl/>
        <w:kinsoku/>
        <w:wordWrap/>
        <w:overflowPunct/>
        <w:topLinePunct w:val="0"/>
        <w:autoSpaceDE/>
        <w:autoSpaceDN/>
        <w:bidi w:val="0"/>
        <w:adjustRightInd w:val="0"/>
        <w:snapToGrid w:val="0"/>
        <w:spacing w:line="360" w:lineRule="auto"/>
        <w:ind w:left="0" w:leftChars="0" w:right="0"/>
        <w:jc w:val="left"/>
        <w:outlineLvl w:val="9"/>
        <w:rPr>
          <w:rFonts w:hint="eastAsia" w:ascii="宋体" w:hAnsi="宋体" w:eastAsia="宋体" w:cs="宋体"/>
          <w:color w:val="auto"/>
          <w:sz w:val="21"/>
          <w:szCs w:val="21"/>
          <w:highlight w:val="none"/>
          <w:u w:color="000000"/>
          <w:lang w:val="zh-TW"/>
        </w:rPr>
      </w:pPr>
    </w:p>
    <w:p w14:paraId="26EDC0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C2F27E8">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附件1：项目团队配备情况表</w:t>
      </w:r>
    </w:p>
    <w:tbl>
      <w:tblPr>
        <w:tblStyle w:val="34"/>
        <w:tblW w:w="4998"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1046"/>
        <w:gridCol w:w="1518"/>
        <w:gridCol w:w="1340"/>
        <w:gridCol w:w="1322"/>
        <w:gridCol w:w="4568"/>
      </w:tblGrid>
      <w:tr w14:paraId="498700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28" w:hRule="atLeast"/>
        </w:trPr>
        <w:tc>
          <w:tcPr>
            <w:tcW w:w="534" w:type="pct"/>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1AE871">
            <w:pPr>
              <w:tabs>
                <w:tab w:val="left" w:pos="7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姓名</w:t>
            </w:r>
          </w:p>
        </w:tc>
        <w:tc>
          <w:tcPr>
            <w:tcW w:w="775" w:type="pct"/>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405F2">
            <w:pPr>
              <w:tabs>
                <w:tab w:val="left" w:pos="7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公司职务</w:t>
            </w:r>
          </w:p>
        </w:tc>
        <w:tc>
          <w:tcPr>
            <w:tcW w:w="684" w:type="pct"/>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751F61">
            <w:pPr>
              <w:tabs>
                <w:tab w:val="left" w:pos="7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项目职务</w:t>
            </w:r>
          </w:p>
        </w:tc>
        <w:tc>
          <w:tcPr>
            <w:tcW w:w="675" w:type="pct"/>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1BFDA">
            <w:pPr>
              <w:tabs>
                <w:tab w:val="left" w:pos="7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从业年限</w:t>
            </w:r>
          </w:p>
        </w:tc>
        <w:tc>
          <w:tcPr>
            <w:tcW w:w="2330" w:type="pct"/>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2669F274">
            <w:pPr>
              <w:tabs>
                <w:tab w:val="left" w:pos="720"/>
                <w:tab w:val="left" w:pos="1440"/>
                <w:tab w:val="left" w:pos="2160"/>
                <w:tab w:val="left" w:pos="2880"/>
                <w:tab w:val="left" w:pos="360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承担项目经历</w:t>
            </w:r>
          </w:p>
        </w:tc>
      </w:tr>
      <w:tr w14:paraId="663DE1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28" w:hRule="atLeast"/>
        </w:trPr>
        <w:tc>
          <w:tcPr>
            <w:tcW w:w="534"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CDFBE">
            <w:pPr>
              <w:spacing w:line="360" w:lineRule="auto"/>
              <w:jc w:val="center"/>
              <w:rPr>
                <w:rFonts w:hint="eastAsia" w:ascii="宋体" w:hAnsi="宋体" w:eastAsia="宋体" w:cs="宋体"/>
                <w:color w:val="auto"/>
                <w:sz w:val="21"/>
                <w:szCs w:val="21"/>
                <w:highlight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6057F6">
            <w:pPr>
              <w:spacing w:line="360" w:lineRule="auto"/>
              <w:jc w:val="center"/>
              <w:rPr>
                <w:rFonts w:hint="eastAsia" w:ascii="宋体" w:hAnsi="宋体" w:eastAsia="宋体" w:cs="宋体"/>
                <w:color w:val="auto"/>
                <w:sz w:val="21"/>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B4D57">
            <w:pPr>
              <w:spacing w:line="360" w:lineRule="auto"/>
              <w:jc w:val="center"/>
              <w:rPr>
                <w:rFonts w:hint="eastAsia" w:ascii="宋体" w:hAnsi="宋体" w:eastAsia="宋体" w:cs="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72B556">
            <w:pPr>
              <w:spacing w:line="360" w:lineRule="auto"/>
              <w:jc w:val="center"/>
              <w:rPr>
                <w:rFonts w:hint="eastAsia" w:ascii="宋体" w:hAnsi="宋体" w:eastAsia="宋体" w:cs="宋体"/>
                <w:color w:val="auto"/>
                <w:sz w:val="21"/>
                <w:szCs w:val="21"/>
                <w:highlight w:val="none"/>
              </w:rPr>
            </w:pPr>
          </w:p>
        </w:tc>
        <w:tc>
          <w:tcPr>
            <w:tcW w:w="2330"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05A35699">
            <w:pPr>
              <w:spacing w:line="360" w:lineRule="auto"/>
              <w:jc w:val="center"/>
              <w:rPr>
                <w:rFonts w:hint="eastAsia" w:ascii="宋体" w:hAnsi="宋体" w:eastAsia="宋体" w:cs="宋体"/>
                <w:color w:val="auto"/>
                <w:sz w:val="21"/>
                <w:szCs w:val="21"/>
                <w:highlight w:val="none"/>
              </w:rPr>
            </w:pPr>
          </w:p>
        </w:tc>
      </w:tr>
      <w:tr w14:paraId="2D9628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28" w:hRule="atLeast"/>
        </w:trPr>
        <w:tc>
          <w:tcPr>
            <w:tcW w:w="534"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FF26F9">
            <w:pPr>
              <w:spacing w:line="360" w:lineRule="auto"/>
              <w:jc w:val="center"/>
              <w:rPr>
                <w:rFonts w:hint="eastAsia" w:ascii="宋体" w:hAnsi="宋体" w:eastAsia="宋体" w:cs="宋体"/>
                <w:color w:val="auto"/>
                <w:sz w:val="21"/>
                <w:szCs w:val="21"/>
                <w:highlight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71B70">
            <w:pPr>
              <w:spacing w:line="360" w:lineRule="auto"/>
              <w:jc w:val="center"/>
              <w:rPr>
                <w:rFonts w:hint="eastAsia" w:ascii="宋体" w:hAnsi="宋体" w:eastAsia="宋体" w:cs="宋体"/>
                <w:color w:val="auto"/>
                <w:sz w:val="21"/>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470A0">
            <w:pPr>
              <w:spacing w:line="360" w:lineRule="auto"/>
              <w:jc w:val="center"/>
              <w:rPr>
                <w:rFonts w:hint="eastAsia" w:ascii="宋体" w:hAnsi="宋体" w:eastAsia="宋体" w:cs="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19B45">
            <w:pPr>
              <w:spacing w:line="360" w:lineRule="auto"/>
              <w:jc w:val="center"/>
              <w:rPr>
                <w:rFonts w:hint="eastAsia" w:ascii="宋体" w:hAnsi="宋体" w:eastAsia="宋体" w:cs="宋体"/>
                <w:color w:val="auto"/>
                <w:sz w:val="21"/>
                <w:szCs w:val="21"/>
                <w:highlight w:val="none"/>
              </w:rPr>
            </w:pPr>
          </w:p>
        </w:tc>
        <w:tc>
          <w:tcPr>
            <w:tcW w:w="2330"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0D3E642F">
            <w:pPr>
              <w:spacing w:line="360" w:lineRule="auto"/>
              <w:jc w:val="center"/>
              <w:rPr>
                <w:rFonts w:hint="eastAsia" w:ascii="宋体" w:hAnsi="宋体" w:eastAsia="宋体" w:cs="宋体"/>
                <w:color w:val="auto"/>
                <w:sz w:val="21"/>
                <w:szCs w:val="21"/>
                <w:highlight w:val="none"/>
              </w:rPr>
            </w:pPr>
          </w:p>
        </w:tc>
      </w:tr>
      <w:tr w14:paraId="4DC060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28" w:hRule="atLeast"/>
        </w:trPr>
        <w:tc>
          <w:tcPr>
            <w:tcW w:w="534"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A8367B">
            <w:pPr>
              <w:spacing w:line="360" w:lineRule="auto"/>
              <w:jc w:val="center"/>
              <w:rPr>
                <w:rFonts w:hint="eastAsia" w:ascii="宋体" w:hAnsi="宋体" w:eastAsia="宋体" w:cs="宋体"/>
                <w:color w:val="auto"/>
                <w:sz w:val="21"/>
                <w:szCs w:val="21"/>
                <w:highlight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3F101B">
            <w:pPr>
              <w:spacing w:line="360" w:lineRule="auto"/>
              <w:jc w:val="center"/>
              <w:rPr>
                <w:rFonts w:hint="eastAsia" w:ascii="宋体" w:hAnsi="宋体" w:eastAsia="宋体" w:cs="宋体"/>
                <w:color w:val="auto"/>
                <w:sz w:val="21"/>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59CCBA">
            <w:pPr>
              <w:spacing w:line="360" w:lineRule="auto"/>
              <w:jc w:val="center"/>
              <w:rPr>
                <w:rFonts w:hint="eastAsia" w:ascii="宋体" w:hAnsi="宋体" w:eastAsia="宋体" w:cs="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0FCB38">
            <w:pPr>
              <w:spacing w:line="360" w:lineRule="auto"/>
              <w:jc w:val="center"/>
              <w:rPr>
                <w:rFonts w:hint="eastAsia" w:ascii="宋体" w:hAnsi="宋体" w:eastAsia="宋体" w:cs="宋体"/>
                <w:color w:val="auto"/>
                <w:sz w:val="21"/>
                <w:szCs w:val="21"/>
                <w:highlight w:val="none"/>
              </w:rPr>
            </w:pPr>
          </w:p>
        </w:tc>
        <w:tc>
          <w:tcPr>
            <w:tcW w:w="2330"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0AF40069">
            <w:pPr>
              <w:spacing w:line="360" w:lineRule="auto"/>
              <w:jc w:val="center"/>
              <w:rPr>
                <w:rFonts w:hint="eastAsia" w:ascii="宋体" w:hAnsi="宋体" w:eastAsia="宋体" w:cs="宋体"/>
                <w:color w:val="auto"/>
                <w:sz w:val="21"/>
                <w:szCs w:val="21"/>
                <w:highlight w:val="none"/>
              </w:rPr>
            </w:pPr>
          </w:p>
        </w:tc>
      </w:tr>
      <w:tr w14:paraId="453A5E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28" w:hRule="atLeast"/>
        </w:trPr>
        <w:tc>
          <w:tcPr>
            <w:tcW w:w="534"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36D313">
            <w:pPr>
              <w:spacing w:line="360" w:lineRule="auto"/>
              <w:jc w:val="center"/>
              <w:rPr>
                <w:rFonts w:hint="eastAsia" w:ascii="宋体" w:hAnsi="宋体" w:eastAsia="宋体" w:cs="宋体"/>
                <w:color w:val="auto"/>
                <w:sz w:val="21"/>
                <w:szCs w:val="21"/>
                <w:highlight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4C5E3D">
            <w:pPr>
              <w:spacing w:line="360" w:lineRule="auto"/>
              <w:jc w:val="center"/>
              <w:rPr>
                <w:rFonts w:hint="eastAsia" w:ascii="宋体" w:hAnsi="宋体" w:eastAsia="宋体" w:cs="宋体"/>
                <w:color w:val="auto"/>
                <w:sz w:val="21"/>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C817EF">
            <w:pPr>
              <w:spacing w:line="360" w:lineRule="auto"/>
              <w:jc w:val="center"/>
              <w:rPr>
                <w:rFonts w:hint="eastAsia" w:ascii="宋体" w:hAnsi="宋体" w:eastAsia="宋体" w:cs="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4B1A7E">
            <w:pPr>
              <w:spacing w:line="360" w:lineRule="auto"/>
              <w:jc w:val="center"/>
              <w:rPr>
                <w:rFonts w:hint="eastAsia" w:ascii="宋体" w:hAnsi="宋体" w:eastAsia="宋体" w:cs="宋体"/>
                <w:color w:val="auto"/>
                <w:sz w:val="21"/>
                <w:szCs w:val="21"/>
                <w:highlight w:val="none"/>
              </w:rPr>
            </w:pPr>
          </w:p>
        </w:tc>
        <w:tc>
          <w:tcPr>
            <w:tcW w:w="2330"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2544388E">
            <w:pPr>
              <w:spacing w:line="360" w:lineRule="auto"/>
              <w:jc w:val="center"/>
              <w:rPr>
                <w:rFonts w:hint="eastAsia" w:ascii="宋体" w:hAnsi="宋体" w:eastAsia="宋体" w:cs="宋体"/>
                <w:color w:val="auto"/>
                <w:sz w:val="21"/>
                <w:szCs w:val="21"/>
                <w:highlight w:val="none"/>
              </w:rPr>
            </w:pPr>
          </w:p>
        </w:tc>
      </w:tr>
      <w:tr w14:paraId="3BAA5D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28" w:hRule="atLeast"/>
        </w:trPr>
        <w:tc>
          <w:tcPr>
            <w:tcW w:w="534" w:type="pct"/>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54AA2E">
            <w:pPr>
              <w:spacing w:line="360" w:lineRule="auto"/>
              <w:jc w:val="center"/>
              <w:rPr>
                <w:rFonts w:hint="eastAsia" w:ascii="宋体" w:hAnsi="宋体" w:eastAsia="宋体" w:cs="宋体"/>
                <w:color w:val="auto"/>
                <w:sz w:val="21"/>
                <w:szCs w:val="21"/>
                <w:highlight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18546">
            <w:pPr>
              <w:spacing w:line="360" w:lineRule="auto"/>
              <w:jc w:val="center"/>
              <w:rPr>
                <w:rFonts w:hint="eastAsia" w:ascii="宋体" w:hAnsi="宋体" w:eastAsia="宋体" w:cs="宋体"/>
                <w:color w:val="auto"/>
                <w:sz w:val="21"/>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328AE5">
            <w:pPr>
              <w:spacing w:line="360" w:lineRule="auto"/>
              <w:jc w:val="center"/>
              <w:rPr>
                <w:rFonts w:hint="eastAsia" w:ascii="宋体" w:hAnsi="宋体" w:eastAsia="宋体" w:cs="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76370">
            <w:pPr>
              <w:spacing w:line="360" w:lineRule="auto"/>
              <w:jc w:val="center"/>
              <w:rPr>
                <w:rFonts w:hint="eastAsia" w:ascii="宋体" w:hAnsi="宋体" w:eastAsia="宋体" w:cs="宋体"/>
                <w:color w:val="auto"/>
                <w:sz w:val="21"/>
                <w:szCs w:val="21"/>
                <w:highlight w:val="none"/>
              </w:rPr>
            </w:pPr>
          </w:p>
        </w:tc>
        <w:tc>
          <w:tcPr>
            <w:tcW w:w="2330" w:type="pct"/>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117E7710">
            <w:pPr>
              <w:spacing w:line="360" w:lineRule="auto"/>
              <w:jc w:val="center"/>
              <w:rPr>
                <w:rFonts w:hint="eastAsia" w:ascii="宋体" w:hAnsi="宋体" w:eastAsia="宋体" w:cs="宋体"/>
                <w:color w:val="auto"/>
                <w:sz w:val="21"/>
                <w:szCs w:val="21"/>
                <w:highlight w:val="none"/>
              </w:rPr>
            </w:pPr>
          </w:p>
        </w:tc>
      </w:tr>
      <w:tr w14:paraId="6BC76F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85" w:hRule="atLeast"/>
        </w:trPr>
        <w:tc>
          <w:tcPr>
            <w:tcW w:w="5000" w:type="pct"/>
            <w:gridSpan w:val="5"/>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11C67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w:t>
            </w:r>
            <w:r>
              <w:rPr>
                <w:rFonts w:hint="eastAsia" w:ascii="宋体" w:hAnsi="宋体" w:eastAsia="宋体" w:cs="宋体"/>
                <w:color w:val="auto"/>
                <w:sz w:val="21"/>
                <w:szCs w:val="21"/>
                <w:highlight w:val="none"/>
                <w:lang w:val="zh-TW" w:eastAsia="zh-TW"/>
              </w:rPr>
              <w:t>实行项目团队负责制，我方保证并配备上述团队。我方保证上述填报内容真实。</w:t>
            </w:r>
          </w:p>
          <w:p w14:paraId="06BC9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420" w:firstLineChars="200"/>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lang w:val="zh-TW" w:eastAsia="zh-TW"/>
              </w:rPr>
              <w:t>乙方团队配合项目需求：团队主要执行人员每周至少参加一次项目现场例会，</w:t>
            </w:r>
            <w:r>
              <w:rPr>
                <w:rFonts w:hint="eastAsia" w:ascii="宋体" w:hAnsi="宋体" w:eastAsia="宋体" w:cs="宋体"/>
                <w:color w:val="auto"/>
                <w:sz w:val="21"/>
                <w:szCs w:val="21"/>
                <w:highlight w:val="none"/>
                <w:u w:color="000000"/>
              </w:rPr>
              <w:t>在服务期间需要驻场一名专职策划（非AE），</w:t>
            </w:r>
            <w:r>
              <w:rPr>
                <w:rFonts w:hint="eastAsia" w:ascii="宋体" w:hAnsi="宋体" w:eastAsia="宋体" w:cs="宋体"/>
                <w:color w:val="auto"/>
                <w:sz w:val="21"/>
                <w:szCs w:val="21"/>
                <w:highlight w:val="none"/>
                <w:u w:color="000000"/>
                <w:lang w:val="zh-TW" w:eastAsia="zh-TW"/>
              </w:rPr>
              <w:t>另在开盘、加推、售出、公开等重要营销节点提供</w:t>
            </w:r>
            <w:r>
              <w:rPr>
                <w:rFonts w:hint="eastAsia" w:ascii="宋体" w:hAnsi="宋体" w:eastAsia="宋体" w:cs="宋体"/>
                <w:color w:val="auto"/>
                <w:sz w:val="21"/>
                <w:szCs w:val="21"/>
                <w:highlight w:val="none"/>
                <w:u w:color="000000"/>
              </w:rPr>
              <w:t>设计</w:t>
            </w:r>
            <w:r>
              <w:rPr>
                <w:rFonts w:hint="eastAsia" w:ascii="宋体" w:hAnsi="宋体" w:eastAsia="宋体" w:cs="宋体"/>
                <w:color w:val="auto"/>
                <w:sz w:val="21"/>
                <w:szCs w:val="21"/>
                <w:highlight w:val="none"/>
                <w:u w:color="000000"/>
                <w:lang w:val="zh-TW" w:eastAsia="zh-TW"/>
              </w:rPr>
              <w:t>驻场服务，驻场费用包含在每月服务费中，甲方不另支付，具体驻场时间由双方在相应节点前协商确定。</w:t>
            </w:r>
          </w:p>
          <w:p w14:paraId="0BD1F92E">
            <w:pPr>
              <w:pStyle w:val="21"/>
              <w:ind w:firstLine="482"/>
              <w:jc w:val="center"/>
              <w:rPr>
                <w:rFonts w:hint="eastAsia" w:ascii="宋体" w:hAnsi="宋体" w:eastAsia="宋体" w:cs="宋体"/>
                <w:b w:val="0"/>
                <w:bCs w:val="0"/>
                <w:caps/>
                <w:color w:val="auto"/>
                <w:sz w:val="21"/>
                <w:szCs w:val="21"/>
                <w:highlight w:val="none"/>
              </w:rPr>
            </w:pPr>
            <w:r>
              <w:rPr>
                <w:rFonts w:hint="eastAsia" w:ascii="宋体" w:hAnsi="宋体" w:eastAsia="宋体" w:cs="宋体"/>
                <w:caps/>
                <w:color w:val="auto"/>
                <w:sz w:val="21"/>
                <w:szCs w:val="21"/>
                <w:highlight w:val="none"/>
              </w:rPr>
              <w:t xml:space="preserve">                                      </w:t>
            </w:r>
            <w:r>
              <w:rPr>
                <w:rFonts w:hint="eastAsia" w:ascii="宋体" w:hAnsi="宋体" w:eastAsia="宋体" w:cs="宋体"/>
                <w:b w:val="0"/>
                <w:bCs w:val="0"/>
                <w:caps/>
                <w:color w:val="auto"/>
                <w:sz w:val="21"/>
                <w:szCs w:val="21"/>
                <w:highlight w:val="none"/>
              </w:rPr>
              <w:t>乙方（盖章）：</w:t>
            </w:r>
          </w:p>
          <w:p w14:paraId="11510207">
            <w:pPr>
              <w:pStyle w:val="21"/>
              <w:ind w:firstLine="480"/>
              <w:jc w:val="center"/>
              <w:rPr>
                <w:rFonts w:hint="eastAsia" w:ascii="宋体" w:hAnsi="宋体" w:eastAsia="宋体" w:cs="宋体"/>
                <w:b w:val="0"/>
                <w:bCs w:val="0"/>
                <w:caps/>
                <w:color w:val="auto"/>
                <w:sz w:val="21"/>
                <w:szCs w:val="21"/>
                <w:highlight w:val="none"/>
              </w:rPr>
            </w:pPr>
          </w:p>
        </w:tc>
      </w:tr>
    </w:tbl>
    <w:p w14:paraId="5DFFE761">
      <w:pPr>
        <w:rPr>
          <w:rFonts w:hint="eastAsia" w:ascii="宋体" w:hAnsi="宋体" w:eastAsia="宋体" w:cs="宋体"/>
          <w:b w:val="0"/>
          <w:bCs w:val="0"/>
          <w:color w:val="auto"/>
          <w:highlight w:val="none"/>
          <w:lang w:val="zh-TW" w:eastAsia="zh-TW"/>
        </w:rPr>
      </w:pPr>
      <w:r>
        <w:rPr>
          <w:rFonts w:hint="eastAsia" w:ascii="宋体" w:hAnsi="宋体" w:eastAsia="宋体" w:cs="宋体"/>
          <w:b w:val="0"/>
          <w:bCs w:val="0"/>
          <w:color w:val="auto"/>
          <w:highlight w:val="none"/>
          <w:lang w:val="zh-TW" w:eastAsia="zh-TW"/>
        </w:rPr>
        <w:br w:type="page"/>
      </w:r>
    </w:p>
    <w:p w14:paraId="5D08B5DA">
      <w:pPr>
        <w:spacing w:line="360" w:lineRule="auto"/>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附件2：绩效考核评分表</w:t>
      </w:r>
    </w:p>
    <w:tbl>
      <w:tblPr>
        <w:tblStyle w:val="34"/>
        <w:tblW w:w="499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2203"/>
        <w:gridCol w:w="161"/>
        <w:gridCol w:w="3826"/>
        <w:gridCol w:w="1800"/>
        <w:gridCol w:w="1804"/>
      </w:tblGrid>
      <w:tr w14:paraId="60886C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354F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项目名称</w:t>
            </w: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3108E8">
            <w:pPr>
              <w:rPr>
                <w:rFonts w:hint="eastAsia" w:ascii="宋体" w:hAnsi="宋体" w:eastAsia="宋体" w:cs="宋体"/>
                <w:color w:val="auto"/>
                <w:sz w:val="21"/>
                <w:szCs w:val="21"/>
                <w:highlight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F79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服务月份</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507AEC">
            <w:pPr>
              <w:rPr>
                <w:rFonts w:hint="eastAsia" w:ascii="宋体" w:hAnsi="宋体" w:eastAsia="宋体" w:cs="宋体"/>
                <w:color w:val="auto"/>
                <w:sz w:val="21"/>
                <w:szCs w:val="21"/>
                <w:highlight w:val="none"/>
              </w:rPr>
            </w:pPr>
          </w:p>
        </w:tc>
      </w:tr>
      <w:tr w14:paraId="2A9753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2CF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考核占比</w:t>
            </w: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A842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考核项目</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0375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总分</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696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得分</w:t>
            </w:r>
          </w:p>
        </w:tc>
      </w:tr>
      <w:tr w14:paraId="518C6B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1125" w:type="pct"/>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0A7AFC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工作成果（</w:t>
            </w:r>
            <w:r>
              <w:rPr>
                <w:rFonts w:hint="eastAsia" w:ascii="宋体" w:hAnsi="宋体" w:eastAsia="宋体" w:cs="宋体"/>
                <w:color w:val="auto"/>
                <w:sz w:val="21"/>
                <w:szCs w:val="21"/>
                <w:highlight w:val="none"/>
                <w:lang w:val="zh-TW"/>
              </w:rPr>
              <w:t>65</w:t>
            </w:r>
            <w:r>
              <w:rPr>
                <w:rFonts w:hint="eastAsia" w:ascii="宋体" w:hAnsi="宋体" w:eastAsia="宋体" w:cs="宋体"/>
                <w:color w:val="auto"/>
                <w:sz w:val="21"/>
                <w:szCs w:val="21"/>
                <w:highlight w:val="none"/>
                <w:lang w:val="zh-TW" w:eastAsia="zh-TW"/>
              </w:rPr>
              <w:t>%）</w:t>
            </w: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3548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市场数据类</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25E2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6BD30C">
            <w:pPr>
              <w:rPr>
                <w:rFonts w:hint="eastAsia" w:ascii="宋体" w:hAnsi="宋体" w:eastAsia="宋体" w:cs="宋体"/>
                <w:color w:val="auto"/>
                <w:sz w:val="21"/>
                <w:szCs w:val="21"/>
                <w:highlight w:val="none"/>
              </w:rPr>
            </w:pPr>
          </w:p>
        </w:tc>
      </w:tr>
      <w:tr w14:paraId="6B2F40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125" w:type="pct"/>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130C5A91">
            <w:pPr>
              <w:jc w:val="center"/>
              <w:rPr>
                <w:rFonts w:hint="eastAsia" w:ascii="宋体" w:hAnsi="宋体" w:eastAsia="宋体" w:cs="宋体"/>
                <w:color w:val="auto"/>
                <w:sz w:val="21"/>
                <w:szCs w:val="21"/>
                <w:highlight w:val="none"/>
              </w:rPr>
            </w:pP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B2A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微信公众号技术支持和运营</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9718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854184">
            <w:pPr>
              <w:rPr>
                <w:rFonts w:hint="eastAsia" w:ascii="宋体" w:hAnsi="宋体" w:eastAsia="宋体" w:cs="宋体"/>
                <w:color w:val="auto"/>
                <w:sz w:val="21"/>
                <w:szCs w:val="21"/>
                <w:highlight w:val="none"/>
              </w:rPr>
            </w:pPr>
          </w:p>
        </w:tc>
      </w:tr>
      <w:tr w14:paraId="1A669F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1125" w:type="pct"/>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0EBC8118">
            <w:pPr>
              <w:jc w:val="center"/>
              <w:rPr>
                <w:rFonts w:hint="eastAsia" w:ascii="宋体" w:hAnsi="宋体" w:eastAsia="宋体" w:cs="宋体"/>
                <w:color w:val="auto"/>
                <w:sz w:val="21"/>
                <w:szCs w:val="21"/>
                <w:highlight w:val="none"/>
              </w:rPr>
            </w:pP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B12B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推广思路</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D6B1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596438">
            <w:pPr>
              <w:rPr>
                <w:rFonts w:hint="eastAsia" w:ascii="宋体" w:hAnsi="宋体" w:eastAsia="宋体" w:cs="宋体"/>
                <w:color w:val="auto"/>
                <w:sz w:val="21"/>
                <w:szCs w:val="21"/>
                <w:highlight w:val="none"/>
              </w:rPr>
            </w:pPr>
          </w:p>
        </w:tc>
      </w:tr>
      <w:tr w14:paraId="48EF5F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125" w:type="pct"/>
            <w:vMerge w:val="continue"/>
            <w:tcBorders>
              <w:left w:val="single" w:color="000000" w:sz="4" w:space="0"/>
              <w:right w:val="single" w:color="000000" w:sz="4" w:space="0"/>
            </w:tcBorders>
            <w:shd w:val="clear" w:color="auto" w:fill="auto"/>
          </w:tcPr>
          <w:p w14:paraId="6DEE70A1">
            <w:pPr>
              <w:rPr>
                <w:rFonts w:hint="eastAsia" w:ascii="宋体" w:hAnsi="宋体" w:eastAsia="宋体" w:cs="宋体"/>
                <w:color w:val="auto"/>
                <w:sz w:val="21"/>
                <w:szCs w:val="21"/>
                <w:highlight w:val="none"/>
              </w:rPr>
            </w:pP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3C21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话题事件创意和炒作能力</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9613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26C3E">
            <w:pPr>
              <w:rPr>
                <w:rFonts w:hint="eastAsia" w:ascii="宋体" w:hAnsi="宋体" w:eastAsia="宋体" w:cs="宋体"/>
                <w:color w:val="auto"/>
                <w:sz w:val="21"/>
                <w:szCs w:val="21"/>
                <w:highlight w:val="none"/>
              </w:rPr>
            </w:pPr>
          </w:p>
        </w:tc>
      </w:tr>
      <w:tr w14:paraId="1CC3F1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1125" w:type="pct"/>
            <w:vMerge w:val="continue"/>
            <w:tcBorders>
              <w:left w:val="single" w:color="000000" w:sz="4" w:space="0"/>
              <w:right w:val="single" w:color="000000" w:sz="4" w:space="0"/>
            </w:tcBorders>
            <w:shd w:val="clear" w:color="auto" w:fill="auto"/>
          </w:tcPr>
          <w:p w14:paraId="222B4324">
            <w:pPr>
              <w:rPr>
                <w:rFonts w:hint="eastAsia" w:ascii="宋体" w:hAnsi="宋体" w:eastAsia="宋体" w:cs="宋体"/>
                <w:color w:val="auto"/>
                <w:sz w:val="21"/>
                <w:szCs w:val="21"/>
                <w:highlight w:val="none"/>
              </w:rPr>
            </w:pP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BB7E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平面设计</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9B2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7C75E8">
            <w:pPr>
              <w:rPr>
                <w:rFonts w:hint="eastAsia" w:ascii="宋体" w:hAnsi="宋体" w:eastAsia="宋体" w:cs="宋体"/>
                <w:color w:val="auto"/>
                <w:sz w:val="21"/>
                <w:szCs w:val="21"/>
                <w:highlight w:val="none"/>
              </w:rPr>
            </w:pPr>
          </w:p>
        </w:tc>
      </w:tr>
      <w:tr w14:paraId="2EFE32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1125" w:type="pct"/>
            <w:vMerge w:val="continue"/>
            <w:tcBorders>
              <w:left w:val="single" w:color="000000" w:sz="4" w:space="0"/>
              <w:bottom w:val="single" w:color="000000" w:sz="4" w:space="0"/>
              <w:right w:val="single" w:color="000000" w:sz="4" w:space="0"/>
            </w:tcBorders>
            <w:shd w:val="clear" w:color="auto" w:fill="auto"/>
          </w:tcPr>
          <w:p w14:paraId="2408A936">
            <w:pPr>
              <w:rPr>
                <w:rFonts w:hint="eastAsia" w:ascii="宋体" w:hAnsi="宋体" w:eastAsia="宋体" w:cs="宋体"/>
                <w:color w:val="auto"/>
                <w:sz w:val="21"/>
                <w:szCs w:val="21"/>
                <w:highlight w:val="none"/>
              </w:rPr>
            </w:pP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050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集团品宣工作</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302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37AE4">
            <w:pPr>
              <w:rPr>
                <w:rFonts w:hint="eastAsia" w:ascii="宋体" w:hAnsi="宋体" w:eastAsia="宋体" w:cs="宋体"/>
                <w:color w:val="auto"/>
                <w:sz w:val="21"/>
                <w:szCs w:val="21"/>
                <w:highlight w:val="none"/>
              </w:rPr>
            </w:pPr>
          </w:p>
        </w:tc>
      </w:tr>
      <w:tr w14:paraId="1645FD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125" w:type="pct"/>
            <w:vMerge w:val="continue"/>
            <w:tcBorders>
              <w:left w:val="single" w:color="000000" w:sz="4" w:space="0"/>
              <w:bottom w:val="single" w:color="000000" w:sz="4" w:space="0"/>
              <w:right w:val="single" w:color="000000" w:sz="4" w:space="0"/>
            </w:tcBorders>
            <w:shd w:val="clear" w:color="auto" w:fill="auto"/>
          </w:tcPr>
          <w:p w14:paraId="68F48D7B">
            <w:pPr>
              <w:rPr>
                <w:rFonts w:hint="eastAsia" w:ascii="宋体" w:hAnsi="宋体" w:eastAsia="宋体" w:cs="宋体"/>
                <w:color w:val="auto"/>
                <w:sz w:val="21"/>
                <w:szCs w:val="21"/>
                <w:highlight w:val="none"/>
              </w:rPr>
            </w:pP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E495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文案撰写+热点抓取时效性</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5350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DA093">
            <w:pPr>
              <w:rPr>
                <w:rFonts w:hint="eastAsia" w:ascii="宋体" w:hAnsi="宋体" w:eastAsia="宋体" w:cs="宋体"/>
                <w:color w:val="auto"/>
                <w:sz w:val="21"/>
                <w:szCs w:val="21"/>
                <w:highlight w:val="none"/>
              </w:rPr>
            </w:pPr>
          </w:p>
        </w:tc>
      </w:tr>
      <w:tr w14:paraId="6D4323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125"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0C60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工作态度（</w:t>
            </w:r>
            <w:r>
              <w:rPr>
                <w:rFonts w:hint="eastAsia" w:ascii="宋体" w:hAnsi="宋体" w:eastAsia="宋体" w:cs="宋体"/>
                <w:color w:val="auto"/>
                <w:sz w:val="21"/>
                <w:szCs w:val="21"/>
                <w:highlight w:val="none"/>
                <w:lang w:val="zh-TW"/>
              </w:rPr>
              <w:t>35</w:t>
            </w:r>
            <w:r>
              <w:rPr>
                <w:rFonts w:hint="eastAsia" w:ascii="宋体" w:hAnsi="宋体" w:eastAsia="宋体" w:cs="宋体"/>
                <w:color w:val="auto"/>
                <w:sz w:val="21"/>
                <w:szCs w:val="21"/>
                <w:highlight w:val="none"/>
                <w:lang w:val="zh-TW" w:eastAsia="zh-TW"/>
              </w:rPr>
              <w:t>%）</w:t>
            </w: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D78C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工作责任心及态度（出错率）</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876A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rPr>
              <w:t>15</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2CFF19">
            <w:pPr>
              <w:rPr>
                <w:rFonts w:hint="eastAsia" w:ascii="宋体" w:hAnsi="宋体" w:eastAsia="宋体" w:cs="宋体"/>
                <w:color w:val="auto"/>
                <w:sz w:val="21"/>
                <w:szCs w:val="21"/>
                <w:highlight w:val="none"/>
              </w:rPr>
            </w:pPr>
          </w:p>
        </w:tc>
      </w:tr>
      <w:tr w14:paraId="13B098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43B2A8B2">
            <w:pPr>
              <w:rPr>
                <w:rFonts w:hint="eastAsia" w:ascii="宋体" w:hAnsi="宋体" w:eastAsia="宋体" w:cs="宋体"/>
                <w:color w:val="auto"/>
                <w:sz w:val="21"/>
                <w:szCs w:val="21"/>
                <w:highlight w:val="none"/>
              </w:rPr>
            </w:pP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FE93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按时交稿+工作主动</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A34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A77E99">
            <w:pPr>
              <w:rPr>
                <w:rFonts w:hint="eastAsia" w:ascii="宋体" w:hAnsi="宋体" w:eastAsia="宋体" w:cs="宋体"/>
                <w:color w:val="auto"/>
                <w:sz w:val="21"/>
                <w:szCs w:val="21"/>
                <w:highlight w:val="none"/>
              </w:rPr>
            </w:pPr>
          </w:p>
        </w:tc>
      </w:tr>
      <w:tr w14:paraId="298AEB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78CF0727">
            <w:pPr>
              <w:rPr>
                <w:rFonts w:hint="eastAsia" w:ascii="宋体" w:hAnsi="宋体" w:eastAsia="宋体" w:cs="宋体"/>
                <w:color w:val="auto"/>
                <w:sz w:val="21"/>
                <w:szCs w:val="21"/>
                <w:highlight w:val="none"/>
              </w:rPr>
            </w:pPr>
          </w:p>
        </w:tc>
        <w:tc>
          <w:tcPr>
            <w:tcW w:w="2035"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524C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突发事件配合度</w:t>
            </w:r>
          </w:p>
        </w:tc>
        <w:tc>
          <w:tcPr>
            <w:tcW w:w="91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9CC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DF41F">
            <w:pPr>
              <w:rPr>
                <w:rFonts w:hint="eastAsia" w:ascii="宋体" w:hAnsi="宋体" w:eastAsia="宋体" w:cs="宋体"/>
                <w:color w:val="auto"/>
                <w:sz w:val="21"/>
                <w:szCs w:val="21"/>
                <w:highlight w:val="none"/>
              </w:rPr>
            </w:pPr>
          </w:p>
        </w:tc>
      </w:tr>
      <w:tr w14:paraId="6516C0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jc w:val="center"/>
        </w:trPr>
        <w:tc>
          <w:tcPr>
            <w:tcW w:w="3160" w:type="pct"/>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6E0E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本阶段得分</w:t>
            </w:r>
          </w:p>
        </w:tc>
        <w:tc>
          <w:tcPr>
            <w:tcW w:w="1840"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2C7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本阶段服务费（元）</w:t>
            </w:r>
          </w:p>
        </w:tc>
      </w:tr>
      <w:tr w14:paraId="4C0FED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3160" w:type="pct"/>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1C1CF">
            <w:pPr>
              <w:jc w:val="center"/>
              <w:rPr>
                <w:rFonts w:hint="eastAsia" w:ascii="宋体" w:hAnsi="宋体" w:eastAsia="宋体" w:cs="宋体"/>
                <w:color w:val="auto"/>
                <w:sz w:val="21"/>
                <w:szCs w:val="21"/>
                <w:highlight w:val="none"/>
                <w:lang w:val="zh-TW" w:eastAsia="zh-TW"/>
              </w:rPr>
            </w:pPr>
          </w:p>
        </w:tc>
        <w:tc>
          <w:tcPr>
            <w:tcW w:w="1840"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04DFF0">
            <w:pPr>
              <w:jc w:val="center"/>
              <w:rPr>
                <w:rFonts w:hint="eastAsia" w:ascii="宋体" w:hAnsi="宋体" w:eastAsia="宋体" w:cs="宋体"/>
                <w:color w:val="auto"/>
                <w:sz w:val="21"/>
                <w:szCs w:val="21"/>
                <w:highlight w:val="none"/>
                <w:lang w:val="zh-TW" w:eastAsia="zh-TW"/>
              </w:rPr>
            </w:pPr>
          </w:p>
        </w:tc>
      </w:tr>
      <w:tr w14:paraId="2F5CF0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53" w:hRule="atLeast"/>
          <w:jc w:val="center"/>
        </w:trPr>
        <w:tc>
          <w:tcPr>
            <w:tcW w:w="1207"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22B5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乙方项目负责人</w:t>
            </w:r>
          </w:p>
          <w:p w14:paraId="40A55B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确认签字：</w:t>
            </w:r>
          </w:p>
        </w:tc>
        <w:tc>
          <w:tcPr>
            <w:tcW w:w="3793" w:type="pct"/>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B90762">
            <w:pPr>
              <w:rPr>
                <w:rFonts w:hint="eastAsia" w:ascii="宋体" w:hAnsi="宋体" w:eastAsia="宋体" w:cs="宋体"/>
                <w:color w:val="auto"/>
                <w:sz w:val="21"/>
                <w:szCs w:val="21"/>
                <w:highlight w:val="none"/>
              </w:rPr>
            </w:pPr>
          </w:p>
        </w:tc>
      </w:tr>
      <w:tr w14:paraId="36387C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207"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8522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甲方负责人</w:t>
            </w:r>
          </w:p>
          <w:p w14:paraId="5D8FE4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确认签字：</w:t>
            </w:r>
          </w:p>
        </w:tc>
        <w:tc>
          <w:tcPr>
            <w:tcW w:w="3793" w:type="pct"/>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4FD8AE">
            <w:pPr>
              <w:rPr>
                <w:rFonts w:hint="eastAsia" w:ascii="宋体" w:hAnsi="宋体" w:eastAsia="宋体" w:cs="宋体"/>
                <w:color w:val="auto"/>
                <w:sz w:val="21"/>
                <w:szCs w:val="21"/>
                <w:highlight w:val="none"/>
              </w:rPr>
            </w:pPr>
          </w:p>
        </w:tc>
      </w:tr>
    </w:tbl>
    <w:p w14:paraId="4307A344">
      <w:pPr>
        <w:pageBreakBefore w:val="0"/>
        <w:kinsoku/>
        <w:wordWrap/>
        <w:overflowPunct/>
        <w:topLinePunct w:val="0"/>
        <w:autoSpaceDE/>
        <w:autoSpaceDN/>
        <w:bidi w:val="0"/>
        <w:adjustRightInd w:val="0"/>
        <w:snapToGrid w:val="0"/>
        <w:spacing w:line="360" w:lineRule="auto"/>
        <w:ind w:left="0" w:leftChars="0" w:right="0"/>
        <w:outlineLvl w:val="9"/>
        <w:rPr>
          <w:rFonts w:hint="eastAsia" w:ascii="宋体" w:hAnsi="宋体" w:eastAsia="宋体" w:cs="宋体"/>
          <w:color w:val="auto"/>
          <w:sz w:val="21"/>
          <w:szCs w:val="21"/>
          <w:highlight w:val="none"/>
        </w:rPr>
      </w:pPr>
    </w:p>
    <w:p w14:paraId="211E2D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color w:val="auto"/>
          <w:sz w:val="21"/>
          <w:szCs w:val="21"/>
          <w:highlight w:val="none"/>
          <w:lang w:val="en-US" w:eastAsia="zh-CN"/>
        </w:rPr>
      </w:pPr>
      <w:r>
        <w:rPr>
          <w:rFonts w:hint="eastAsia" w:ascii="宋体" w:hAnsi="宋体" w:eastAsia="宋体" w:cs="宋体"/>
          <w:caps/>
          <w:color w:val="auto"/>
          <w:sz w:val="21"/>
          <w:szCs w:val="21"/>
          <w:highlight w:val="none"/>
          <w:lang w:val="en-US" w:eastAsia="zh-CN"/>
        </w:rPr>
        <w:t>注：</w:t>
      </w:r>
    </w:p>
    <w:p w14:paraId="08E86F94">
      <w:pPr>
        <w:widowControl w:val="0"/>
        <w:numPr>
          <w:ilvl w:val="0"/>
          <w:numId w:val="0"/>
        </w:numPr>
        <w:shd w:val="clear" w:color="auto" w:fill="auto"/>
        <w:tabs>
          <w:tab w:val="left" w:pos="180"/>
          <w:tab w:val="left" w:pos="720"/>
          <w:tab w:val="left" w:pos="900"/>
        </w:tabs>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TW" w:eastAsia="zh-TW" w:bidi="ar-SA"/>
        </w:rPr>
        <w:t>此考核表作为</w:t>
      </w:r>
      <w:r>
        <w:rPr>
          <w:rFonts w:hint="eastAsia" w:ascii="宋体" w:hAnsi="宋体" w:eastAsia="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zh-TW" w:eastAsia="zh-TW" w:bidi="ar-SA"/>
        </w:rPr>
        <w:t>月度考核依据，依照双方签订的合同相关考核分数规定结算当月服务费，</w:t>
      </w:r>
      <w:r>
        <w:rPr>
          <w:rFonts w:hint="eastAsia" w:ascii="宋体" w:hAnsi="宋体" w:eastAsia="宋体" w:cs="宋体"/>
          <w:color w:val="auto"/>
          <w:kern w:val="2"/>
          <w:sz w:val="21"/>
          <w:szCs w:val="21"/>
          <w:highlight w:val="none"/>
          <w:lang w:val="en-US" w:eastAsia="zh-CN" w:bidi="ar-SA"/>
        </w:rPr>
        <w:t>60</w:t>
      </w:r>
      <w:r>
        <w:rPr>
          <w:rFonts w:hint="eastAsia" w:ascii="宋体" w:hAnsi="宋体" w:eastAsia="宋体" w:cs="宋体"/>
          <w:color w:val="auto"/>
          <w:kern w:val="2"/>
          <w:sz w:val="21"/>
          <w:szCs w:val="21"/>
          <w:highlight w:val="none"/>
          <w:lang w:val="zh-TW" w:eastAsia="zh-TW" w:bidi="ar-SA"/>
        </w:rPr>
        <w:t>分为及</w:t>
      </w:r>
      <w:r>
        <w:rPr>
          <w:rFonts w:hint="eastAsia" w:ascii="宋体" w:hAnsi="宋体" w:eastAsia="宋体" w:cs="宋体"/>
          <w:strike w:val="0"/>
          <w:dstrike w:val="0"/>
          <w:color w:val="auto"/>
          <w:kern w:val="2"/>
          <w:sz w:val="21"/>
          <w:szCs w:val="21"/>
          <w:highlight w:val="none"/>
          <w:lang w:val="zh-TW" w:eastAsia="zh-TW" w:bidi="ar-SA"/>
        </w:rPr>
        <w:t>格</w:t>
      </w:r>
      <w:r>
        <w:rPr>
          <w:rFonts w:hint="eastAsia" w:ascii="宋体" w:hAnsi="宋体" w:eastAsia="宋体" w:cs="宋体"/>
          <w:strike w:val="0"/>
          <w:dstrike w:val="0"/>
          <w:color w:val="auto"/>
          <w:kern w:val="2"/>
          <w:sz w:val="21"/>
          <w:szCs w:val="21"/>
          <w:highlight w:val="none"/>
          <w:lang w:val="en-US" w:eastAsia="zh-CN" w:bidi="ar-SA"/>
        </w:rPr>
        <w:t>。</w:t>
      </w:r>
    </w:p>
    <w:p w14:paraId="2F5AA763">
      <w:pPr>
        <w:widowControl w:val="0"/>
        <w:numPr>
          <w:ilvl w:val="0"/>
          <w:numId w:val="0"/>
        </w:numPr>
        <w:shd w:val="clear" w:color="auto" w:fill="auto"/>
        <w:tabs>
          <w:tab w:val="left" w:pos="180"/>
          <w:tab w:val="left" w:pos="720"/>
          <w:tab w:val="left" w:pos="900"/>
        </w:tabs>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TW" w:eastAsia="zh-TW" w:bidi="ar-SA"/>
        </w:rPr>
        <w:t>甲方对乙方的策划服务进行月度考核，每月5日前提供上月绩效考核表与乙方确认。当月绩效考核得分为</w:t>
      </w:r>
      <w:r>
        <w:rPr>
          <w:rFonts w:hint="eastAsia" w:ascii="宋体" w:hAnsi="宋体" w:eastAsia="宋体" w:cs="宋体"/>
          <w:color w:val="auto"/>
          <w:kern w:val="2"/>
          <w:sz w:val="21"/>
          <w:szCs w:val="21"/>
          <w:highlight w:val="none"/>
          <w:lang w:val="en-US" w:eastAsia="zh-CN" w:bidi="ar-SA"/>
        </w:rPr>
        <w:t>91</w:t>
      </w:r>
      <w:r>
        <w:rPr>
          <w:rFonts w:hint="eastAsia" w:ascii="宋体" w:hAnsi="宋体" w:eastAsia="宋体" w:cs="宋体"/>
          <w:color w:val="auto"/>
          <w:kern w:val="2"/>
          <w:sz w:val="21"/>
          <w:szCs w:val="21"/>
          <w:highlight w:val="none"/>
          <w:lang w:val="zh-TW" w:eastAsia="zh-TW" w:bidi="ar-SA"/>
        </w:rPr>
        <w:t>分及以上的，</w:t>
      </w:r>
      <w:r>
        <w:rPr>
          <w:rFonts w:hint="eastAsia" w:ascii="宋体" w:hAnsi="宋体" w:eastAsia="宋体" w:cs="宋体"/>
          <w:color w:val="auto"/>
          <w:kern w:val="2"/>
          <w:sz w:val="21"/>
          <w:szCs w:val="21"/>
          <w:highlight w:val="none"/>
          <w:lang w:val="en-US" w:eastAsia="zh-CN" w:bidi="ar-SA"/>
        </w:rPr>
        <w:t>全额支付该月服务费；81-90分的，扣除绩效月费人民币2000元；71-80分，扣除绩效月费人民币5000元；60-70分的，扣除绩效月费人民币1万元；不足60分的，扣除绩效月费人民币2万元。</w:t>
      </w:r>
    </w:p>
    <w:p w14:paraId="47F1D00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03316BA">
      <w:pPr>
        <w:spacing w:line="440" w:lineRule="exact"/>
        <w:jc w:val="center"/>
        <w:outlineLvl w:val="0"/>
        <w:rPr>
          <w:rFonts w:hint="eastAsia" w:ascii="宋体" w:hAnsi="宋体" w:eastAsia="宋体" w:cs="宋体"/>
          <w:b/>
          <w:color w:val="auto"/>
          <w:sz w:val="36"/>
          <w:szCs w:val="36"/>
          <w:highlight w:val="none"/>
        </w:rPr>
      </w:pPr>
      <w:bookmarkStart w:id="117" w:name="_Toc238"/>
      <w:r>
        <w:rPr>
          <w:rFonts w:hint="eastAsia" w:ascii="宋体" w:hAnsi="宋体" w:eastAsia="宋体" w:cs="宋体"/>
          <w:b/>
          <w:color w:val="auto"/>
          <w:sz w:val="36"/>
          <w:szCs w:val="36"/>
          <w:highlight w:val="none"/>
        </w:rPr>
        <w:t>第四章</w:t>
      </w:r>
      <w:r>
        <w:rPr>
          <w:rFonts w:hint="eastAsia" w:ascii="宋体" w:hAnsi="宋体" w:eastAsia="宋体" w:cs="宋体"/>
          <w:color w:val="auto"/>
          <w:sz w:val="36"/>
          <w:szCs w:val="36"/>
          <w:highlight w:val="none"/>
        </w:rPr>
        <w:t xml:space="preserve"> </w:t>
      </w:r>
      <w:r>
        <w:rPr>
          <w:rFonts w:hint="eastAsia" w:ascii="宋体" w:hAnsi="宋体" w:eastAsia="宋体" w:cs="宋体"/>
          <w:b/>
          <w:color w:val="auto"/>
          <w:sz w:val="36"/>
          <w:szCs w:val="36"/>
          <w:highlight w:val="none"/>
        </w:rPr>
        <w:t>项目需求</w:t>
      </w:r>
      <w:bookmarkEnd w:id="116"/>
      <w:bookmarkEnd w:id="117"/>
    </w:p>
    <w:p w14:paraId="3598EFA2">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GZ627地块项目基本情况：</w:t>
      </w:r>
    </w:p>
    <w:p w14:paraId="7862DCA6">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项目地点和土地四至：GZ627地块位于【蒋王街道】，四至为【东邻规划七里沟路，南至规划汇博路，西至现状空地，北至规划横沟路】。界址点坐标最终以《国有建设用地使用权出让合同》附件之《出让宗地界址图》为准。</w:t>
      </w:r>
    </w:p>
    <w:p w14:paraId="50FC3AB2">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2、项目名称和用地性质：项目名称为【扬州GZ627项目（暂名）】，用地性质为【二类居住用地】。</w:t>
      </w:r>
    </w:p>
    <w:p w14:paraId="529F2949">
      <w:pPr>
        <w:pStyle w:val="15"/>
        <w:spacing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3、土地使用权获取方式：于【2024年11月】通过【挂牌】方式取得。</w:t>
      </w:r>
    </w:p>
    <w:p w14:paraId="782926D1">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4、土地使用年限：住宅用地使用权年限为【70】年，商业用地使用权年限为【40】年。</w:t>
      </w:r>
    </w:p>
    <w:p w14:paraId="56A974E7">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5、地块面积：GZ627宗地面积约【62758】平方米，约【94】亩，其中建设用地面积约【62758】平方米，最终以国有土地使用证上登载的面积为准。</w:t>
      </w:r>
    </w:p>
    <w:p w14:paraId="2459630C">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6、土地现状与交付情况：【净地已交付】</w:t>
      </w:r>
    </w:p>
    <w:p w14:paraId="6ABF37B5">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7、主要规划建设指标：</w:t>
      </w:r>
    </w:p>
    <w:p w14:paraId="78179831">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GZ627地块容积率为【1.0-1.02】，建筑密度为【不高于30%】，绿地率为【不低于35%】，详见地块规划设计条件书。</w:t>
      </w:r>
    </w:p>
    <w:p w14:paraId="74E9DCD3">
      <w:pPr>
        <w:pStyle w:val="15"/>
        <w:spacing w:line="440" w:lineRule="exact"/>
        <w:ind w:firstLine="437"/>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项目预计总规划计容建筑面积【64013】平方米（最终以规划部门核准的指标为准）。</w:t>
      </w:r>
    </w:p>
    <w:p w14:paraId="1F1402F1">
      <w:pPr>
        <w:pStyle w:val="15"/>
        <w:spacing w:line="440" w:lineRule="exact"/>
        <w:ind w:firstLine="437"/>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8、建设内容和建设标准：</w:t>
      </w:r>
    </w:p>
    <w:p w14:paraId="63B5E97C">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项目建设内容包括【住宅、商业】；</w:t>
      </w:r>
    </w:p>
    <w:p w14:paraId="4F73DB3E">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项目建设交付标准为：住宅为【毛坯】，商业为【毛坯】，其他物业为【毛坯】。</w:t>
      </w:r>
    </w:p>
    <w:p w14:paraId="24488F4C">
      <w:pPr>
        <w:pStyle w:val="15"/>
        <w:spacing w:line="440" w:lineRule="exact"/>
        <w:ind w:firstLine="43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9、项目进展情况：【未动工】。</w:t>
      </w:r>
    </w:p>
    <w:p w14:paraId="2C268CAE">
      <w:pPr>
        <w:pageBreakBefore w:val="0"/>
        <w:kinsoku/>
        <w:wordWrap/>
        <w:overflowPunct/>
        <w:topLinePunct w:val="0"/>
        <w:autoSpaceDE/>
        <w:autoSpaceDN/>
        <w:bidi w:val="0"/>
        <w:adjustRightInd w:val="0"/>
        <w:snapToGrid w:val="0"/>
        <w:spacing w:before="0" w:after="0" w:line="360" w:lineRule="auto"/>
        <w:ind w:left="0" w:leftChars="0" w:right="0" w:firstLine="422" w:firstLineChars="200"/>
        <w:outlineLvl w:val="9"/>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zh-TW" w:eastAsia="zh-TW"/>
        </w:rPr>
        <w:t>、服务内容</w:t>
      </w:r>
    </w:p>
    <w:p w14:paraId="490F64E1">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rPr>
      </w:pPr>
      <w:r>
        <w:rPr>
          <w:rFonts w:hint="eastAsia" w:ascii="宋体" w:hAnsi="宋体" w:eastAsia="宋体" w:cs="宋体"/>
          <w:color w:val="auto"/>
          <w:sz w:val="21"/>
          <w:szCs w:val="21"/>
          <w:highlight w:val="none"/>
          <w:u w:color="000000"/>
          <w:lang w:val="zh-TW"/>
        </w:rPr>
        <w:t>1.常规性工作，具体内容为乙方围绕甲方在项目不同阶段制定系统营销推广计划并在服务期内开展广告服务工作，同时包含微信公众号维护及技术支持。乙方应于服务期内每月月底前或双方协商的要求时间内提交月度常规性工作计划，乙方应根据甲方下达的工作任务为甲方提供服务。</w:t>
      </w:r>
    </w:p>
    <w:p w14:paraId="49F82A16">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2</w:t>
      </w:r>
      <w:r>
        <w:rPr>
          <w:rFonts w:hint="eastAsia" w:ascii="宋体" w:hAnsi="宋体" w:eastAsia="宋体" w:cs="宋体"/>
          <w:color w:val="auto"/>
          <w:sz w:val="21"/>
          <w:szCs w:val="21"/>
          <w:highlight w:val="none"/>
          <w:u w:color="000000"/>
          <w:lang w:val="zh-TW" w:eastAsia="zh-TW"/>
        </w:rPr>
        <w:t>.由甲方提供客群资料，由乙方负责进行客群心理分析并出分析报告。</w:t>
      </w:r>
    </w:p>
    <w:p w14:paraId="5A5EB476">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rPr>
        <w:t>3</w:t>
      </w:r>
      <w:r>
        <w:rPr>
          <w:rFonts w:hint="eastAsia" w:ascii="宋体" w:hAnsi="宋体" w:eastAsia="宋体" w:cs="宋体"/>
          <w:color w:val="auto"/>
          <w:sz w:val="21"/>
          <w:szCs w:val="21"/>
          <w:highlight w:val="none"/>
          <w:u w:color="000000"/>
          <w:lang w:val="zh-TW" w:eastAsia="zh-TW"/>
        </w:rPr>
        <w:t>.项目整合传播的总体策划思路及阶段性具体操作方案，包括但是不限于以下内容：</w:t>
      </w:r>
    </w:p>
    <w:p w14:paraId="497A4A6B">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（1）分析项目自身特点，结合市场状况，给项目、客户以及产品进行定位；</w:t>
      </w:r>
    </w:p>
    <w:p w14:paraId="0F72C502">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（2）整合楼盘优势资源，价值体系梳理与创造、宣传核心及调性；</w:t>
      </w:r>
    </w:p>
    <w:p w14:paraId="65AE7567">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（3）按月度提供营销策略、宣传推广的总体策划思路，销售策略、销售周期分析及建议；</w:t>
      </w:r>
    </w:p>
    <w:p w14:paraId="27BBCF8C">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（4）结合市场状况和目标受众的特点，提供具体广告操作方案；</w:t>
      </w:r>
    </w:p>
    <w:p w14:paraId="7D83692F">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（5）提供阶段性创意策略组合建议；</w:t>
      </w:r>
    </w:p>
    <w:p w14:paraId="1AF7EFDC">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6）基础系统设计，包含但不限于案名提报、LOGO建议及设计、VI设计及演绎、项目标志设计、中英文标准字体、标准组合、印刷字体、辅助图形、项目标准色样本、项目标准字体样本、项目标准组合样本、象征图形与吉祥物等；</w:t>
      </w:r>
    </w:p>
    <w:p w14:paraId="53C95E9C">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（7）平面广告创意、设计，撰写缮稿；</w:t>
      </w:r>
    </w:p>
    <w:p w14:paraId="323CD256">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（8）楼书、宣传单张、折页、展板、吊旗、刀旗及其他宣传品等创意、撰文、设计等事宜；</w:t>
      </w:r>
    </w:p>
    <w:p w14:paraId="57AA7306">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（9）售楼部内外部阵地包装建议方案；</w:t>
      </w:r>
    </w:p>
    <w:p w14:paraId="1FE4B882">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（10）广播、影视广告：创意、撰文、制作监控；</w:t>
      </w:r>
    </w:p>
    <w:p w14:paraId="55323E39">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（11）户外广告（含车身广告等）创意、撰文、设计等事宜；</w:t>
      </w:r>
    </w:p>
    <w:p w14:paraId="25C18F3B">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（12）网络电子媒体广告的创意、撰文、制作监控；</w:t>
      </w:r>
    </w:p>
    <w:p w14:paraId="4EAEB736">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（13）负责与甲方合作的第三方的广告策划、设计方案的监控；</w:t>
      </w:r>
    </w:p>
    <w:p w14:paraId="351FD0A7">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（14）新媒体推广策略，微信公众号的搭建以及运营；</w:t>
      </w:r>
    </w:p>
    <w:p w14:paraId="67ABEE49">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（15）公关活动建议及物料设计。</w:t>
      </w:r>
    </w:p>
    <w:p w14:paraId="00EC16E4">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（16）</w:t>
      </w:r>
      <w:r>
        <w:rPr>
          <w:rFonts w:hint="eastAsia" w:hAnsi="宋体" w:cs="宋体"/>
          <w:color w:val="auto"/>
          <w:sz w:val="21"/>
          <w:szCs w:val="21"/>
          <w:highlight w:val="none"/>
          <w:u w:color="000000"/>
          <w:lang w:val="zh-TW" w:eastAsia="zh-CN"/>
        </w:rPr>
        <w:t>企业</w:t>
      </w:r>
      <w:r>
        <w:rPr>
          <w:rFonts w:hint="eastAsia" w:ascii="宋体" w:hAnsi="宋体" w:eastAsia="宋体" w:cs="宋体"/>
          <w:color w:val="auto"/>
          <w:sz w:val="21"/>
          <w:szCs w:val="21"/>
          <w:highlight w:val="none"/>
          <w:u w:color="000000"/>
          <w:lang w:val="zh-TW" w:eastAsia="zh-TW"/>
        </w:rPr>
        <w:t>品牌的宣传（包括但不限于企业品牌定位、品牌战略、结合项目的品牌推广全案等方面）；</w:t>
      </w:r>
    </w:p>
    <w:p w14:paraId="3EAA0CAC">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（17）微信H5制作、微信笔记制作、项目PPT模板制作。</w:t>
      </w:r>
    </w:p>
    <w:p w14:paraId="13D81778">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注：以上服务的工作内容若实际发生变化的以甲方确认的实际工作规划为准。</w:t>
      </w:r>
    </w:p>
    <w:p w14:paraId="4F59CEA5">
      <w:pPr>
        <w:pStyle w:val="149"/>
        <w:pageBreakBefore w:val="0"/>
        <w:framePr w:wrap="auto" w:vAnchor="margin" w:hAnchor="text" w:yAlign="inline"/>
        <w:tabs>
          <w:tab w:val="left" w:pos="665"/>
        </w:tabs>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val="zh-TW"/>
        </w:rPr>
        <w:t>4.</w:t>
      </w:r>
      <w:r>
        <w:rPr>
          <w:rFonts w:hint="eastAsia" w:ascii="宋体" w:hAnsi="宋体" w:eastAsia="宋体" w:cs="宋体"/>
          <w:color w:val="auto"/>
          <w:sz w:val="21"/>
          <w:szCs w:val="21"/>
          <w:highlight w:val="none"/>
          <w:lang w:val="zh-TW" w:eastAsia="zh-TW"/>
        </w:rPr>
        <w:t>整合传播策划及服务需提交的文本内容</w:t>
      </w:r>
    </w:p>
    <w:p w14:paraId="295D4B59">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（1）</w:t>
      </w:r>
      <w:r>
        <w:rPr>
          <w:rFonts w:hint="eastAsia" w:hAnsi="宋体" w:cs="宋体"/>
          <w:color w:val="auto"/>
          <w:sz w:val="21"/>
          <w:szCs w:val="21"/>
          <w:highlight w:val="none"/>
          <w:u w:color="000000"/>
          <w:lang w:val="zh-TW" w:eastAsia="zh-CN"/>
        </w:rPr>
        <w:t>企业</w:t>
      </w:r>
      <w:r>
        <w:rPr>
          <w:rFonts w:hint="eastAsia" w:ascii="宋体" w:hAnsi="宋体" w:eastAsia="宋体" w:cs="宋体"/>
          <w:color w:val="auto"/>
          <w:sz w:val="21"/>
          <w:szCs w:val="21"/>
          <w:highlight w:val="none"/>
          <w:u w:color="000000"/>
          <w:lang w:val="zh-TW" w:eastAsia="zh-TW"/>
        </w:rPr>
        <w:t>品宣计划；</w:t>
      </w:r>
    </w:p>
    <w:p w14:paraId="795242B4">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CN"/>
        </w:rPr>
      </w:pPr>
      <w:r>
        <w:rPr>
          <w:rFonts w:hint="eastAsia" w:ascii="宋体" w:hAnsi="宋体" w:eastAsia="宋体" w:cs="宋体"/>
          <w:color w:val="auto"/>
          <w:sz w:val="21"/>
          <w:szCs w:val="21"/>
          <w:highlight w:val="none"/>
          <w:u w:color="000000"/>
          <w:lang w:val="zh-TW" w:eastAsia="zh-TW"/>
        </w:rPr>
        <w:t>（2）项目的整体营销、推广策略</w:t>
      </w:r>
      <w:r>
        <w:rPr>
          <w:rFonts w:hint="eastAsia" w:ascii="宋体" w:hAnsi="宋体" w:eastAsia="宋体" w:cs="宋体"/>
          <w:color w:val="auto"/>
          <w:sz w:val="21"/>
          <w:szCs w:val="21"/>
          <w:highlight w:val="none"/>
          <w:u w:color="000000"/>
          <w:lang w:val="zh-TW" w:eastAsia="zh-CN"/>
        </w:rPr>
        <w:t>；</w:t>
      </w:r>
    </w:p>
    <w:p w14:paraId="48F30195">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（3）项目的广告媒介投放建议；</w:t>
      </w:r>
    </w:p>
    <w:p w14:paraId="48CC13C3">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（4）项目的市场分析；</w:t>
      </w:r>
    </w:p>
    <w:p w14:paraId="480DB8A9">
      <w:pPr>
        <w:pStyle w:val="20"/>
        <w:pageBreakBefore w:val="0"/>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u w:color="000000"/>
          <w:lang w:val="zh-TW" w:eastAsia="zh-TW"/>
        </w:rPr>
        <w:t>（5）项目的各项传播活动建议。</w:t>
      </w:r>
    </w:p>
    <w:p w14:paraId="50936658">
      <w:pPr>
        <w:pStyle w:val="149"/>
        <w:pageBreakBefore w:val="0"/>
        <w:framePr w:wrap="auto" w:vAnchor="margin" w:hAnchor="text" w:yAlign="inline"/>
        <w:tabs>
          <w:tab w:val="left" w:pos="665"/>
        </w:tabs>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甲方交代的其他工作内容</w:t>
      </w:r>
      <w:r>
        <w:rPr>
          <w:rFonts w:hint="eastAsia" w:ascii="宋体" w:hAnsi="宋体" w:eastAsia="宋体" w:cs="宋体"/>
          <w:color w:val="auto"/>
          <w:sz w:val="21"/>
          <w:szCs w:val="21"/>
          <w:highlight w:val="none"/>
        </w:rPr>
        <w:t>。</w:t>
      </w:r>
    </w:p>
    <w:p w14:paraId="1374040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三、考核原则</w:t>
      </w:r>
    </w:p>
    <w:p w14:paraId="1181E719">
      <w:pPr>
        <w:pStyle w:val="149"/>
        <w:pageBreakBefore w:val="0"/>
        <w:framePr w:wrap="auto" w:vAnchor="margin" w:hAnchor="text" w:yAlign="inline"/>
        <w:tabs>
          <w:tab w:val="left" w:pos="665"/>
        </w:tabs>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kern w:val="0"/>
          <w:sz w:val="21"/>
          <w:szCs w:val="21"/>
          <w:highlight w:val="none"/>
          <w:lang w:val="zh-TW" w:eastAsia="zh-CN" w:bidi="ar-SA"/>
        </w:rPr>
      </w:pPr>
      <w:r>
        <w:rPr>
          <w:rFonts w:hint="eastAsia" w:ascii="宋体" w:hAnsi="宋体" w:eastAsia="宋体" w:cs="宋体"/>
          <w:color w:val="auto"/>
          <w:kern w:val="0"/>
          <w:sz w:val="21"/>
          <w:szCs w:val="21"/>
          <w:highlight w:val="none"/>
          <w:lang w:val="zh-TW" w:eastAsia="zh-TW" w:bidi="ar-SA"/>
        </w:rPr>
        <w:t>甲方对乙方的策划服务进行月度考核，每月5日前提供上月绩效考核表与乙方确认。当月绩效考核得分为91分及以上的，</w:t>
      </w:r>
      <w:r>
        <w:rPr>
          <w:rFonts w:hint="eastAsia" w:ascii="宋体" w:hAnsi="宋体" w:eastAsia="宋体" w:cs="宋体"/>
          <w:color w:val="auto"/>
          <w:kern w:val="0"/>
          <w:sz w:val="21"/>
          <w:szCs w:val="21"/>
          <w:highlight w:val="none"/>
          <w:lang w:val="zh-TW" w:eastAsia="zh-CN" w:bidi="ar-SA"/>
        </w:rPr>
        <w:t>全额支付该月服务费；81-90分的，扣除绩效月费人民币2000元；71-80分，扣除绩效月费人民币5000元；60-70分的，扣除绩效月费人民币1万元；不足60分的，扣除绩效月费人民币2万元</w:t>
      </w:r>
      <w:r>
        <w:rPr>
          <w:rFonts w:hint="eastAsia" w:ascii="宋体" w:hAnsi="宋体" w:eastAsia="宋体" w:cs="宋体"/>
          <w:color w:val="auto"/>
          <w:kern w:val="0"/>
          <w:sz w:val="21"/>
          <w:szCs w:val="21"/>
          <w:highlight w:val="none"/>
          <w:lang w:val="zh-TW" w:eastAsia="zh-TW" w:bidi="ar-SA"/>
        </w:rPr>
        <w:t>。（绩效考核标准参考附件2）。</w:t>
      </w:r>
    </w:p>
    <w:p w14:paraId="610932F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四、知识产权</w:t>
      </w:r>
    </w:p>
    <w:p w14:paraId="3ECF1C9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zh-TW" w:eastAsia="zh-TW" w:bidi="ar-SA"/>
        </w:rPr>
        <w:t>1.乙方因履行本合同而完成的有关成果以及设计稿件（包括但不限于传播策略、创意及构思、平面电视电台作品、包装设计等）的知识产权归甲方所有。</w:t>
      </w:r>
    </w:p>
    <w:p w14:paraId="06A012A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zh-TW" w:eastAsia="zh-TW" w:bidi="ar-SA"/>
        </w:rPr>
      </w:pPr>
      <w:r>
        <w:rPr>
          <w:rFonts w:hint="eastAsia" w:ascii="宋体" w:hAnsi="宋体" w:eastAsia="宋体" w:cs="宋体"/>
          <w:color w:val="auto"/>
          <w:kern w:val="0"/>
          <w:sz w:val="21"/>
          <w:szCs w:val="21"/>
          <w:highlight w:val="none"/>
          <w:lang w:val="zh-TW" w:eastAsia="zh-TW" w:bidi="ar-SA"/>
        </w:rPr>
        <w:t>2.乙方应确保因履行本合同而完成的有关成果以及设计稿件不涉及第三方的知识产权，非因甲方提供资料引起的一切知识产权纠纷及损失赔偿等责任由乙方自行承担，由此造成甲方工期延误及其他损失的，甲方有权追究其违约责任及其他损失赔偿责任。非因甲方明确要求且确需涉及第三方的知识产权的，乙方应当明确告知甲方并以合理最低费用取得授权或许可，相关费用含在投标报价中。</w:t>
      </w:r>
    </w:p>
    <w:p w14:paraId="70A62F8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TW" w:eastAsia="zh-TW" w:bidi="ar-SA"/>
        </w:rPr>
        <w:t>3.乙方不得未经甲方同意用</w:t>
      </w:r>
      <w:r>
        <w:rPr>
          <w:rFonts w:hint="eastAsia" w:ascii="宋体" w:hAnsi="宋体" w:eastAsia="宋体" w:cs="宋体"/>
          <w:color w:val="auto"/>
          <w:kern w:val="0"/>
          <w:sz w:val="21"/>
          <w:szCs w:val="21"/>
          <w:highlight w:val="none"/>
          <w:lang w:val="zh-TW" w:eastAsia="zh-CN" w:bidi="ar-SA"/>
        </w:rPr>
        <w:t>本合同</w:t>
      </w:r>
      <w:r>
        <w:rPr>
          <w:rFonts w:hint="eastAsia" w:ascii="宋体" w:hAnsi="宋体" w:eastAsia="宋体" w:cs="宋体"/>
          <w:color w:val="auto"/>
          <w:kern w:val="0"/>
          <w:sz w:val="21"/>
          <w:szCs w:val="21"/>
          <w:highlight w:val="none"/>
          <w:lang w:val="zh-TW" w:eastAsia="zh-TW" w:bidi="ar-SA"/>
        </w:rPr>
        <w:t>约定范围的所设计之作品参与公益、专业、行业或各类组织机构所组织的竞赛评比活动以及为自己宣传和研究的目的所用。</w:t>
      </w:r>
    </w:p>
    <w:p w14:paraId="2ED5E0D3">
      <w:pPr>
        <w:rPr>
          <w:rFonts w:hint="eastAsia" w:ascii="宋体" w:hAnsi="宋体" w:eastAsia="宋体" w:cs="宋体"/>
          <w:color w:val="auto"/>
          <w:szCs w:val="21"/>
          <w:highlight w:val="none"/>
        </w:rPr>
      </w:pPr>
    </w:p>
    <w:p w14:paraId="5A1AD27E">
      <w:pPr>
        <w:rPr>
          <w:rFonts w:hint="eastAsia" w:ascii="宋体" w:hAnsi="宋体" w:eastAsia="宋体" w:cs="宋体"/>
          <w:color w:val="auto"/>
          <w:szCs w:val="21"/>
          <w:highlight w:val="none"/>
        </w:rPr>
      </w:pPr>
    </w:p>
    <w:p w14:paraId="6E0B8ED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111"/>
    <w:bookmarkEnd w:id="112"/>
    <w:bookmarkEnd w:id="113"/>
    <w:p w14:paraId="24753D64">
      <w:pPr>
        <w:pStyle w:val="2"/>
        <w:spacing w:after="340" w:line="480" w:lineRule="auto"/>
        <w:jc w:val="center"/>
        <w:rPr>
          <w:rFonts w:hint="eastAsia" w:ascii="宋体" w:hAnsi="宋体" w:eastAsia="宋体" w:cs="宋体"/>
          <w:color w:val="auto"/>
          <w:sz w:val="36"/>
          <w:highlight w:val="none"/>
        </w:rPr>
      </w:pPr>
      <w:bookmarkStart w:id="118" w:name="_Toc497133122"/>
      <w:bookmarkStart w:id="119" w:name="_Toc2367"/>
      <w:bookmarkStart w:id="120" w:name="_Toc22592"/>
      <w:r>
        <w:rPr>
          <w:rFonts w:hint="eastAsia" w:ascii="宋体" w:hAnsi="宋体" w:eastAsia="宋体" w:cs="宋体"/>
          <w:color w:val="auto"/>
          <w:sz w:val="36"/>
          <w:highlight w:val="none"/>
        </w:rPr>
        <w:t>第五章 评标方法及评标标准</w:t>
      </w:r>
      <w:bookmarkEnd w:id="118"/>
      <w:bookmarkEnd w:id="119"/>
      <w:bookmarkEnd w:id="120"/>
    </w:p>
    <w:p w14:paraId="49F6BEE5">
      <w:pPr>
        <w:pStyle w:val="168"/>
        <w:spacing w:before="0" w:after="0"/>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一、评标方法</w:t>
      </w:r>
    </w:p>
    <w:p w14:paraId="3D4B4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本项目采用综合评</w:t>
      </w:r>
      <w:r>
        <w:rPr>
          <w:rFonts w:hint="eastAsia" w:ascii="宋体" w:hAnsi="宋体" w:eastAsia="宋体" w:cs="宋体"/>
          <w:color w:val="auto"/>
          <w:szCs w:val="21"/>
          <w:highlight w:val="none"/>
        </w:rPr>
        <w:t>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AEF21A8">
      <w:pPr>
        <w:pStyle w:val="168"/>
        <w:spacing w:before="0" w:after="0"/>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二、评标标准</w:t>
      </w:r>
    </w:p>
    <w:tbl>
      <w:tblPr>
        <w:tblStyle w:val="34"/>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252"/>
        <w:gridCol w:w="8404"/>
      </w:tblGrid>
      <w:tr w14:paraId="4942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5" w:hRule="atLeast"/>
          <w:jc w:val="center"/>
        </w:trPr>
        <w:tc>
          <w:tcPr>
            <w:tcW w:w="648" w:type="pct"/>
            <w:shd w:val="clear" w:color="auto" w:fill="auto"/>
            <w:noWrap w:val="0"/>
            <w:vAlign w:val="center"/>
          </w:tcPr>
          <w:p w14:paraId="604B772F">
            <w:pPr>
              <w:keepNext w:val="0"/>
              <w:keepLines w:val="0"/>
              <w:pageBreakBefore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项目</w:t>
            </w:r>
          </w:p>
        </w:tc>
        <w:tc>
          <w:tcPr>
            <w:tcW w:w="4351" w:type="pct"/>
            <w:shd w:val="clear" w:color="auto" w:fill="auto"/>
            <w:noWrap w:val="0"/>
            <w:vAlign w:val="center"/>
          </w:tcPr>
          <w:p w14:paraId="730D3A3A">
            <w:pPr>
              <w:keepNext w:val="0"/>
              <w:keepLines w:val="0"/>
              <w:pageBreakBefore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评分标准（100分）</w:t>
            </w:r>
          </w:p>
        </w:tc>
      </w:tr>
      <w:tr w14:paraId="5FB50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2" w:hRule="atLeast"/>
          <w:jc w:val="center"/>
        </w:trPr>
        <w:tc>
          <w:tcPr>
            <w:tcW w:w="648" w:type="pct"/>
            <w:shd w:val="clear" w:color="auto" w:fill="auto"/>
            <w:noWrap w:val="0"/>
            <w:vAlign w:val="center"/>
          </w:tcPr>
          <w:p w14:paraId="2C90DEC1">
            <w:pPr>
              <w:keepNext w:val="0"/>
              <w:keepLines w:val="0"/>
              <w:pageBreakBefore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价格</w:t>
            </w:r>
          </w:p>
          <w:p w14:paraId="53AE4435">
            <w:pPr>
              <w:keepNext w:val="0"/>
              <w:keepLines w:val="0"/>
              <w:pageBreakBefore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（20分）</w:t>
            </w:r>
          </w:p>
        </w:tc>
        <w:tc>
          <w:tcPr>
            <w:tcW w:w="4351" w:type="pct"/>
            <w:shd w:val="clear" w:color="auto" w:fill="auto"/>
            <w:noWrap w:val="0"/>
            <w:vAlign w:val="center"/>
          </w:tcPr>
          <w:p w14:paraId="22199572">
            <w:pPr>
              <w:keepNext w:val="0"/>
              <w:keepLines w:val="0"/>
              <w:pageBreakBefore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以满足招标文件要求的最低投标报价为评标基准价，得满分20分,其他报价得分＝（评标基准价/其他投标价）×20×100%（</w:t>
            </w:r>
            <w:r>
              <w:rPr>
                <w:rFonts w:hint="eastAsia" w:ascii="宋体" w:hAnsi="宋体" w:eastAsia="宋体" w:cs="宋体"/>
                <w:bCs/>
                <w:color w:val="auto"/>
                <w:szCs w:val="21"/>
                <w:highlight w:val="none"/>
                <w:lang w:val="en-US" w:eastAsia="zh-CN"/>
              </w:rPr>
              <w:t>四舍五入，</w:t>
            </w:r>
            <w:r>
              <w:rPr>
                <w:rFonts w:hint="eastAsia" w:ascii="宋体" w:hAnsi="宋体" w:eastAsia="宋体" w:cs="宋体"/>
                <w:bCs/>
                <w:color w:val="auto"/>
                <w:szCs w:val="21"/>
                <w:highlight w:val="none"/>
              </w:rPr>
              <w:t>保留两位小数）</w:t>
            </w:r>
          </w:p>
          <w:p w14:paraId="1E344CE5">
            <w:pPr>
              <w:keepNext w:val="0"/>
              <w:keepLines w:val="0"/>
              <w:pageBreakBefore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shd w:val="clear"/>
              </w:rPr>
            </w:pPr>
            <w:r>
              <w:rPr>
                <w:rFonts w:hint="eastAsia" w:ascii="宋体" w:hAnsi="宋体" w:eastAsia="宋体" w:cs="宋体"/>
                <w:bCs/>
                <w:color w:val="auto"/>
                <w:szCs w:val="21"/>
                <w:highlight w:val="none"/>
              </w:rPr>
              <w:t>注：评审委员会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委员会应当将其作为无效响应处理。</w:t>
            </w:r>
          </w:p>
        </w:tc>
      </w:tr>
      <w:tr w14:paraId="2718F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8" w:hRule="atLeast"/>
          <w:jc w:val="center"/>
        </w:trPr>
        <w:tc>
          <w:tcPr>
            <w:tcW w:w="648" w:type="pct"/>
            <w:shd w:val="clear" w:color="auto" w:fill="auto"/>
            <w:noWrap w:val="0"/>
            <w:vAlign w:val="center"/>
          </w:tcPr>
          <w:p w14:paraId="7DB72838">
            <w:pPr>
              <w:keepNext w:val="0"/>
              <w:keepLines w:val="0"/>
              <w:pageBreakBefore w:val="0"/>
              <w:widowControl/>
              <w:shd w:val="clear" w:color="auto" w:fill="auto"/>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lang w:val="en-US" w:eastAsia="zh-CN"/>
              </w:rPr>
              <w:t>服务</w:t>
            </w:r>
            <w:r>
              <w:rPr>
                <w:rFonts w:hint="eastAsia" w:ascii="宋体" w:hAnsi="宋体" w:eastAsia="宋体" w:cs="宋体"/>
                <w:color w:val="auto"/>
                <w:szCs w:val="21"/>
                <w:highlight w:val="none"/>
                <w:shd w:val="clear"/>
              </w:rPr>
              <w:t>方案</w:t>
            </w:r>
          </w:p>
          <w:p w14:paraId="0D5D2D1B">
            <w:pPr>
              <w:keepNext w:val="0"/>
              <w:keepLines w:val="0"/>
              <w:pageBreakBefore w:val="0"/>
              <w:widowControl w:val="0"/>
              <w:shd w:val="clear" w:color="auto" w:fill="auto"/>
              <w:kinsoku/>
              <w:wordWrap/>
              <w:overflowPunct/>
              <w:topLinePunct w:val="0"/>
              <w:autoSpaceDE/>
              <w:autoSpaceDN/>
              <w:bidi w:val="0"/>
              <w:adjustRightInd/>
              <w:snapToGrid/>
              <w:spacing w:before="0" w:after="0"/>
              <w:ind w:firstLine="0" w:firstLineChars="0"/>
              <w:jc w:val="center"/>
              <w:textAlignment w:val="auto"/>
              <w:rPr>
                <w:rFonts w:hint="eastAsia" w:ascii="宋体" w:hAnsi="宋体" w:eastAsia="宋体" w:cs="宋体"/>
                <w:color w:val="auto"/>
                <w:kern w:val="2"/>
                <w:sz w:val="21"/>
                <w:szCs w:val="21"/>
                <w:highlight w:val="none"/>
                <w:shd w:val="clear"/>
                <w:lang w:val="en-US" w:eastAsia="zh-CN" w:bidi="ar-SA"/>
              </w:rPr>
            </w:pPr>
            <w:r>
              <w:rPr>
                <w:rFonts w:hint="eastAsia" w:ascii="宋体" w:hAnsi="宋体" w:eastAsia="宋体" w:cs="宋体"/>
                <w:color w:val="auto"/>
                <w:kern w:val="2"/>
                <w:sz w:val="21"/>
                <w:szCs w:val="21"/>
                <w:highlight w:val="none"/>
                <w:shd w:val="clear"/>
                <w:lang w:val="en-US" w:eastAsia="zh-CN" w:bidi="ar-SA"/>
              </w:rPr>
              <w:t>（50分）</w:t>
            </w:r>
          </w:p>
        </w:tc>
        <w:tc>
          <w:tcPr>
            <w:tcW w:w="4351" w:type="pct"/>
            <w:shd w:val="clear" w:color="auto" w:fill="auto"/>
            <w:noWrap w:val="0"/>
            <w:vAlign w:val="center"/>
          </w:tcPr>
          <w:p w14:paraId="09D0B63E">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1.报告质量（5分）</w:t>
            </w:r>
          </w:p>
          <w:p w14:paraId="7E584553">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报告主题明确、思路清晰、完整性强的得5分；报告主题明确、完整性一般的得3分；报告主体稍模糊、完整性稍欠缺的得1分，其余不得分。</w:t>
            </w:r>
          </w:p>
          <w:p w14:paraId="6B5AAA44">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2.创作成果：整体策略性（8分）</w:t>
            </w:r>
          </w:p>
          <w:p w14:paraId="13E0D2D5">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策略思考充分，应用度高、可行性强的得8分；策略性较弱，应用度、可行性一般的得5分；缺乏策略思考，缺少可行性的得2分，其余不得分。</w:t>
            </w:r>
          </w:p>
          <w:p w14:paraId="05AB9401">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3.创作成果：故事线演绎（5分）</w:t>
            </w:r>
          </w:p>
          <w:p w14:paraId="7FBD5B13">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故事线清晰，契合项目特质，满足营销推广需求的得5分；故事线模糊，对项目特质和营销推广关系一般的得3分；故事线不明，对项目特质和营销推广关系较弱的得1分，其余不得分。</w:t>
            </w:r>
          </w:p>
          <w:p w14:paraId="0EE902E3">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4.创作成果：文案表现能力（8分）</w:t>
            </w:r>
          </w:p>
          <w:p w14:paraId="7489D32F">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文案能够体现项目卖点，感染力、传播力强的得8分；文案对项目卖点的体现及感染力传播力一般的得5分，文案对项目卖点的体现及感染力传播力弱的得2分，其余不得分。</w:t>
            </w:r>
          </w:p>
          <w:p w14:paraId="2B3B2CF0">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5.创作成果：设计表现力（8分）</w:t>
            </w:r>
          </w:p>
          <w:p w14:paraId="04BB694B">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设计表现力强，匹配度高，品质感、识别性高的得8分；设计表现力、与项目匹配度及品质感一般的得5分，设计表现力、与项目匹配度及品质感弱的得2分，其余不得分。</w:t>
            </w:r>
          </w:p>
          <w:p w14:paraId="1F5B11F4">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6.品牌传播：品牌传播策略（6分）</w:t>
            </w:r>
          </w:p>
          <w:p w14:paraId="6FBAE4D6">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具开发品牌传播策略，充分理解开发品牌传播任务的得6分；具开发品牌传播策略，能理解开发品牌传播任务的得4分；未能充分理解开发品牌并明确品牌传播策略的得2分，其余不得分。</w:t>
            </w:r>
          </w:p>
          <w:p w14:paraId="1AF7674C">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7.品牌传播：品牌价值表现（5分）</w:t>
            </w:r>
          </w:p>
          <w:p w14:paraId="4E6F8169">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品牌价值挖掘深入，表现生动，可对项目产生助力的得5分；品牌价值挖掘一般但可对项目产生助力的得3分；品牌价值的挖掘表现及对项目整体工作助益不清的得1分，其余不得分。</w:t>
            </w:r>
          </w:p>
          <w:p w14:paraId="5345549C">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shd w:val="clear"/>
              </w:rPr>
            </w:pPr>
            <w:r>
              <w:rPr>
                <w:rFonts w:hint="eastAsia" w:ascii="宋体" w:hAnsi="宋体" w:eastAsia="宋体" w:cs="宋体"/>
                <w:bCs/>
                <w:color w:val="auto"/>
                <w:szCs w:val="21"/>
                <w:highlight w:val="none"/>
                <w:shd w:val="clear"/>
              </w:rPr>
              <w:t>8.品牌传播：品牌传播落地（5分）</w:t>
            </w:r>
          </w:p>
          <w:p w14:paraId="08890CBD">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highlight w:val="none"/>
                <w:shd w:val="clear"/>
              </w:rPr>
            </w:pPr>
            <w:r>
              <w:rPr>
                <w:rFonts w:hint="eastAsia" w:ascii="宋体" w:hAnsi="宋体" w:eastAsia="宋体" w:cs="宋体"/>
                <w:bCs/>
                <w:color w:val="auto"/>
                <w:szCs w:val="21"/>
                <w:highlight w:val="none"/>
                <w:shd w:val="clear"/>
              </w:rPr>
              <w:t>品牌传播落地思路清晰，节奏明确，落地可执行强的得5分；品牌传播落地思路、节奏和可执行性一般的得3分，品牌传播落地思路、节奏和可执行性弱的得1分，其余不得分。</w:t>
            </w:r>
          </w:p>
        </w:tc>
      </w:tr>
      <w:tr w14:paraId="1B5F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2" w:hRule="atLeast"/>
          <w:jc w:val="center"/>
        </w:trPr>
        <w:tc>
          <w:tcPr>
            <w:tcW w:w="648" w:type="pct"/>
            <w:vMerge w:val="restart"/>
            <w:shd w:val="clear" w:color="auto" w:fill="auto"/>
            <w:noWrap w:val="0"/>
            <w:vAlign w:val="center"/>
          </w:tcPr>
          <w:p w14:paraId="5917020F">
            <w:pPr>
              <w:keepNext w:val="0"/>
              <w:keepLines w:val="0"/>
              <w:pageBreakBefore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公司整体能力评估</w:t>
            </w:r>
          </w:p>
          <w:p w14:paraId="33093074">
            <w:pPr>
              <w:keepNext w:val="0"/>
              <w:keepLines w:val="0"/>
              <w:pageBreakBefore w:val="0"/>
              <w:shd w:val="clear" w:color="auto" w:fill="auto"/>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（30分）</w:t>
            </w:r>
          </w:p>
        </w:tc>
        <w:tc>
          <w:tcPr>
            <w:tcW w:w="4351" w:type="pct"/>
            <w:shd w:val="clear" w:color="auto" w:fill="auto"/>
            <w:noWrap w:val="0"/>
            <w:vAlign w:val="center"/>
          </w:tcPr>
          <w:p w14:paraId="55E1C88F">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shd w:val="clear"/>
                <w:lang w:val="zh-TW"/>
              </w:rPr>
            </w:pPr>
            <w:r>
              <w:rPr>
                <w:rFonts w:hint="eastAsia" w:ascii="宋体" w:hAnsi="宋体" w:eastAsia="宋体" w:cs="宋体"/>
                <w:color w:val="auto"/>
                <w:szCs w:val="21"/>
                <w:highlight w:val="none"/>
                <w:shd w:val="clear"/>
                <w:lang w:val="zh-TW"/>
              </w:rPr>
              <w:t>策划</w:t>
            </w:r>
            <w:r>
              <w:rPr>
                <w:rFonts w:hint="eastAsia" w:ascii="宋体" w:hAnsi="宋体" w:eastAsia="宋体" w:cs="宋体"/>
                <w:color w:val="auto"/>
                <w:szCs w:val="21"/>
                <w:highlight w:val="none"/>
                <w:shd w:val="clear"/>
                <w:lang w:val="zh-TW" w:eastAsia="zh-TW"/>
              </w:rPr>
              <w:t>案例</w:t>
            </w:r>
            <w:r>
              <w:rPr>
                <w:rFonts w:hint="eastAsia" w:ascii="宋体" w:hAnsi="宋体" w:eastAsia="宋体" w:cs="宋体"/>
                <w:color w:val="auto"/>
                <w:szCs w:val="21"/>
                <w:highlight w:val="none"/>
                <w:shd w:val="clear"/>
                <w:lang w:val="zh-TW"/>
              </w:rPr>
              <w:t>（</w:t>
            </w:r>
            <w:r>
              <w:rPr>
                <w:rFonts w:hint="eastAsia" w:ascii="宋体" w:hAnsi="宋体" w:eastAsia="宋体" w:cs="宋体"/>
                <w:color w:val="auto"/>
                <w:szCs w:val="21"/>
                <w:highlight w:val="none"/>
                <w:shd w:val="clear"/>
              </w:rPr>
              <w:t>15分</w:t>
            </w:r>
            <w:r>
              <w:rPr>
                <w:rFonts w:hint="eastAsia" w:ascii="宋体" w:hAnsi="宋体" w:eastAsia="宋体" w:cs="宋体"/>
                <w:color w:val="auto"/>
                <w:szCs w:val="21"/>
                <w:highlight w:val="none"/>
                <w:shd w:val="clear"/>
                <w:lang w:val="zh-TW"/>
              </w:rPr>
              <w:t>）</w:t>
            </w:r>
          </w:p>
          <w:p w14:paraId="652323B5">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shd w:val="clear"/>
                <w:lang w:val="zh-TW"/>
              </w:rPr>
            </w:pPr>
            <w:r>
              <w:rPr>
                <w:rFonts w:hint="eastAsia" w:ascii="宋体" w:hAnsi="宋体" w:cs="宋体"/>
                <w:color w:val="auto"/>
                <w:szCs w:val="21"/>
                <w:highlight w:val="none"/>
                <w:shd w:val="clear"/>
                <w:lang w:val="en-US" w:eastAsia="zh-CN"/>
              </w:rPr>
              <w:t>供应商</w:t>
            </w:r>
            <w:r>
              <w:rPr>
                <w:rFonts w:hint="eastAsia" w:ascii="宋体" w:hAnsi="宋体" w:eastAsia="宋体" w:cs="宋体"/>
                <w:color w:val="auto"/>
                <w:szCs w:val="21"/>
                <w:highlight w:val="none"/>
                <w:shd w:val="clear"/>
                <w:lang w:val="zh-TW" w:eastAsia="zh-TW"/>
              </w:rPr>
              <w:t>自</w:t>
            </w:r>
            <w:r>
              <w:rPr>
                <w:rFonts w:hint="eastAsia" w:ascii="宋体" w:hAnsi="宋体" w:eastAsia="宋体" w:cs="宋体"/>
                <w:color w:val="auto"/>
                <w:szCs w:val="21"/>
                <w:highlight w:val="none"/>
                <w:shd w:val="clear"/>
                <w:lang w:val="en-US" w:eastAsia="zh-CN"/>
              </w:rPr>
              <w:t>2022</w:t>
            </w:r>
            <w:r>
              <w:rPr>
                <w:rFonts w:hint="eastAsia" w:ascii="宋体" w:hAnsi="宋体" w:eastAsia="宋体" w:cs="宋体"/>
                <w:color w:val="auto"/>
                <w:szCs w:val="21"/>
                <w:highlight w:val="none"/>
                <w:shd w:val="clear"/>
                <w:lang w:val="zh-TW" w:eastAsia="zh-TW"/>
              </w:rPr>
              <w:t>年1月1日以来</w:t>
            </w:r>
            <w:r>
              <w:rPr>
                <w:rFonts w:hint="eastAsia" w:ascii="宋体" w:hAnsi="宋体" w:eastAsia="宋体" w:cs="宋体"/>
                <w:color w:val="auto"/>
                <w:szCs w:val="21"/>
                <w:highlight w:val="none"/>
                <w:shd w:val="clear"/>
                <w:lang w:val="zh-TW" w:eastAsia="zh-TW"/>
              </w:rPr>
              <w:t>（以合同签订日期为准）承接过</w:t>
            </w:r>
            <w:r>
              <w:rPr>
                <w:rFonts w:hint="eastAsia" w:ascii="宋体" w:hAnsi="宋体" w:eastAsia="宋体" w:cs="宋体"/>
                <w:color w:val="auto"/>
                <w:szCs w:val="21"/>
                <w:highlight w:val="none"/>
                <w:shd w:val="clear"/>
              </w:rPr>
              <w:t>住宅项目</w:t>
            </w:r>
            <w:r>
              <w:rPr>
                <w:rFonts w:hint="eastAsia" w:ascii="宋体" w:hAnsi="宋体" w:eastAsia="宋体" w:cs="宋体"/>
                <w:color w:val="auto"/>
                <w:szCs w:val="21"/>
                <w:highlight w:val="none"/>
                <w:shd w:val="clear"/>
                <w:lang w:val="zh-TW"/>
              </w:rPr>
              <w:t>策划</w:t>
            </w:r>
            <w:r>
              <w:rPr>
                <w:rFonts w:hint="eastAsia" w:ascii="宋体" w:hAnsi="宋体" w:eastAsia="宋体" w:cs="宋体"/>
                <w:color w:val="auto"/>
                <w:szCs w:val="21"/>
                <w:highlight w:val="none"/>
                <w:shd w:val="clear"/>
                <w:lang w:val="zh-TW" w:eastAsia="zh-TW"/>
              </w:rPr>
              <w:t>案例，有一个得</w:t>
            </w:r>
            <w:r>
              <w:rPr>
                <w:rFonts w:hint="eastAsia" w:ascii="宋体" w:hAnsi="宋体" w:eastAsia="宋体" w:cs="宋体"/>
                <w:color w:val="auto"/>
                <w:szCs w:val="21"/>
                <w:highlight w:val="none"/>
                <w:shd w:val="clear"/>
              </w:rPr>
              <w:t>3</w:t>
            </w:r>
            <w:r>
              <w:rPr>
                <w:rFonts w:hint="eastAsia" w:ascii="宋体" w:hAnsi="宋体" w:eastAsia="宋体" w:cs="宋体"/>
                <w:color w:val="auto"/>
                <w:szCs w:val="21"/>
                <w:highlight w:val="none"/>
                <w:shd w:val="clear"/>
                <w:lang w:val="zh-TW" w:eastAsia="zh-TW"/>
              </w:rPr>
              <w:t>个</w:t>
            </w:r>
            <w:r>
              <w:rPr>
                <w:rFonts w:hint="eastAsia" w:ascii="宋体" w:hAnsi="宋体" w:eastAsia="宋体" w:cs="宋体"/>
                <w:color w:val="auto"/>
                <w:szCs w:val="21"/>
                <w:highlight w:val="none"/>
                <w:shd w:val="clear"/>
                <w:lang w:val="zh-TW"/>
              </w:rPr>
              <w:t>，</w:t>
            </w:r>
            <w:r>
              <w:rPr>
                <w:rFonts w:hint="eastAsia" w:ascii="宋体" w:hAnsi="宋体" w:eastAsia="宋体" w:cs="宋体"/>
                <w:color w:val="auto"/>
                <w:szCs w:val="21"/>
                <w:highlight w:val="none"/>
                <w:shd w:val="clear"/>
                <w:lang w:val="zh-TW" w:eastAsia="zh-TW"/>
              </w:rPr>
              <w:t>最高得</w:t>
            </w:r>
            <w:r>
              <w:rPr>
                <w:rFonts w:hint="eastAsia" w:ascii="宋体" w:hAnsi="宋体" w:eastAsia="宋体" w:cs="宋体"/>
                <w:color w:val="auto"/>
                <w:szCs w:val="21"/>
                <w:highlight w:val="none"/>
                <w:shd w:val="clear"/>
              </w:rPr>
              <w:t>15</w:t>
            </w:r>
            <w:r>
              <w:rPr>
                <w:rFonts w:hint="eastAsia" w:ascii="宋体" w:hAnsi="宋体" w:eastAsia="宋体" w:cs="宋体"/>
                <w:color w:val="auto"/>
                <w:szCs w:val="21"/>
                <w:highlight w:val="none"/>
                <w:shd w:val="clear"/>
                <w:lang w:val="zh-TW" w:eastAsia="zh-TW"/>
              </w:rPr>
              <w:t>分。</w:t>
            </w:r>
          </w:p>
          <w:p w14:paraId="50A179DB">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shd w:val="clear"/>
              </w:rPr>
            </w:pPr>
            <w:r>
              <w:rPr>
                <w:rFonts w:hint="eastAsia" w:ascii="宋体" w:hAnsi="宋体" w:eastAsia="宋体" w:cs="宋体"/>
                <w:b/>
                <w:bCs/>
                <w:color w:val="auto"/>
                <w:szCs w:val="21"/>
                <w:highlight w:val="none"/>
                <w:shd w:val="clear"/>
                <w:lang w:val="zh-TW" w:eastAsia="zh-TW"/>
              </w:rPr>
              <w:t>注：提供合同</w:t>
            </w:r>
            <w:r>
              <w:rPr>
                <w:rFonts w:hint="eastAsia" w:ascii="宋体" w:hAnsi="宋体" w:eastAsia="宋体" w:cs="宋体"/>
                <w:b/>
                <w:bCs/>
                <w:color w:val="auto"/>
                <w:szCs w:val="21"/>
                <w:highlight w:val="none"/>
                <w:shd w:val="clear"/>
                <w:lang w:val="zh-TW" w:eastAsia="zh-CN"/>
              </w:rPr>
              <w:t>复印件加盖供应商公章</w:t>
            </w:r>
            <w:r>
              <w:rPr>
                <w:rFonts w:hint="eastAsia" w:ascii="宋体" w:hAnsi="宋体" w:eastAsia="宋体" w:cs="宋体"/>
                <w:b/>
                <w:bCs/>
                <w:color w:val="auto"/>
                <w:szCs w:val="21"/>
                <w:highlight w:val="none"/>
                <w:shd w:val="clear"/>
                <w:lang w:val="zh-TW" w:eastAsia="zh-TW"/>
              </w:rPr>
              <w:t>，业绩时间以合同签订时间为准</w:t>
            </w:r>
            <w:r>
              <w:rPr>
                <w:rFonts w:hint="eastAsia" w:ascii="宋体" w:hAnsi="宋体" w:eastAsia="宋体" w:cs="宋体"/>
                <w:b/>
                <w:bCs/>
                <w:color w:val="auto"/>
                <w:szCs w:val="21"/>
                <w:highlight w:val="none"/>
                <w:shd w:val="clear"/>
                <w:lang w:val="zh-TW"/>
              </w:rPr>
              <w:t>，</w:t>
            </w:r>
            <w:r>
              <w:rPr>
                <w:rFonts w:hint="eastAsia" w:ascii="宋体" w:hAnsi="宋体" w:eastAsia="宋体" w:cs="宋体"/>
                <w:b/>
                <w:bCs/>
                <w:color w:val="auto"/>
                <w:szCs w:val="21"/>
                <w:highlight w:val="none"/>
                <w:shd w:val="clear"/>
              </w:rPr>
              <w:t>原件备查，无原件不得分。</w:t>
            </w:r>
          </w:p>
        </w:tc>
      </w:tr>
      <w:tr w14:paraId="18FF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41" w:hRule="atLeast"/>
          <w:jc w:val="center"/>
        </w:trPr>
        <w:tc>
          <w:tcPr>
            <w:tcW w:w="648" w:type="pct"/>
            <w:vMerge w:val="continue"/>
            <w:shd w:val="clear" w:color="auto" w:fill="auto"/>
            <w:noWrap w:val="0"/>
            <w:vAlign w:val="center"/>
          </w:tcPr>
          <w:p w14:paraId="0D6A4091">
            <w:pPr>
              <w:keepNext w:val="0"/>
              <w:keepLines w:val="0"/>
              <w:pageBreakBefore w:val="0"/>
              <w:widowControl/>
              <w:shd w:val="clear" w:color="auto" w:fill="auto"/>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shd w:val="clear"/>
              </w:rPr>
            </w:pPr>
          </w:p>
        </w:tc>
        <w:tc>
          <w:tcPr>
            <w:tcW w:w="4351" w:type="pct"/>
            <w:shd w:val="clear" w:color="auto" w:fill="auto"/>
            <w:noWrap w:val="0"/>
            <w:vAlign w:val="center"/>
          </w:tcPr>
          <w:p w14:paraId="4D5E7BC9">
            <w:pPr>
              <w:keepNext w:val="0"/>
              <w:keepLines w:val="0"/>
              <w:pageBreakBefore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shd w:val="clear"/>
                <w:lang w:val="zh-TW"/>
              </w:rPr>
            </w:pPr>
            <w:r>
              <w:rPr>
                <w:rFonts w:hint="eastAsia" w:ascii="宋体" w:hAnsi="宋体" w:eastAsia="宋体" w:cs="宋体"/>
                <w:color w:val="auto"/>
                <w:szCs w:val="21"/>
                <w:highlight w:val="none"/>
                <w:shd w:val="clear"/>
                <w:lang w:val="zh-TW" w:eastAsia="zh-TW"/>
              </w:rPr>
              <w:t>项目组人员实力</w:t>
            </w:r>
            <w:r>
              <w:rPr>
                <w:rFonts w:hint="eastAsia" w:ascii="宋体" w:hAnsi="宋体" w:eastAsia="宋体" w:cs="宋体"/>
                <w:color w:val="auto"/>
                <w:szCs w:val="21"/>
                <w:highlight w:val="none"/>
                <w:shd w:val="clear"/>
                <w:lang w:val="zh-TW"/>
              </w:rPr>
              <w:t>（</w:t>
            </w:r>
            <w:r>
              <w:rPr>
                <w:rFonts w:hint="eastAsia" w:ascii="宋体" w:hAnsi="宋体" w:eastAsia="宋体" w:cs="宋体"/>
                <w:color w:val="auto"/>
                <w:szCs w:val="21"/>
                <w:highlight w:val="none"/>
                <w:shd w:val="clear"/>
              </w:rPr>
              <w:t>15分</w:t>
            </w:r>
            <w:r>
              <w:rPr>
                <w:rFonts w:hint="eastAsia" w:ascii="宋体" w:hAnsi="宋体" w:eastAsia="宋体" w:cs="宋体"/>
                <w:color w:val="auto"/>
                <w:szCs w:val="21"/>
                <w:highlight w:val="none"/>
                <w:shd w:val="clear"/>
                <w:lang w:val="zh-TW"/>
              </w:rPr>
              <w:t>）</w:t>
            </w:r>
          </w:p>
          <w:p w14:paraId="1671B3A5">
            <w:pPr>
              <w:keepNext w:val="0"/>
              <w:keepLines w:val="0"/>
              <w:pageBreakBefore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lang w:val="zh-TW" w:eastAsia="zh-TW"/>
              </w:rPr>
              <w:t>项目组人员必须包括</w:t>
            </w:r>
            <w:r>
              <w:rPr>
                <w:rFonts w:hint="eastAsia" w:ascii="宋体" w:hAnsi="宋体" w:eastAsia="宋体" w:cs="宋体"/>
                <w:b/>
                <w:bCs/>
                <w:color w:val="auto"/>
                <w:szCs w:val="21"/>
                <w:highlight w:val="none"/>
                <w:shd w:val="clear"/>
                <w:lang w:val="zh-TW" w:eastAsia="zh-TW"/>
              </w:rPr>
              <w:t>后台营销总监，策划总监，高级平面设计师，高级文案，项目策划经理</w:t>
            </w:r>
            <w:r>
              <w:rPr>
                <w:rFonts w:hint="eastAsia" w:ascii="宋体" w:hAnsi="宋体" w:eastAsia="宋体" w:cs="宋体"/>
                <w:color w:val="auto"/>
                <w:szCs w:val="21"/>
                <w:highlight w:val="none"/>
                <w:shd w:val="clear"/>
                <w:lang w:val="zh-TW" w:eastAsia="zh-TW"/>
              </w:rPr>
              <w:t>。上述人员均需具有连续三年以上从事房地产营销策划一线工作经验，驻场策划经理应具有三年以上同类楼盘策划经验</w:t>
            </w:r>
            <w:r>
              <w:rPr>
                <w:rFonts w:hint="eastAsia" w:ascii="宋体" w:hAnsi="宋体" w:eastAsia="宋体" w:cs="宋体"/>
                <w:color w:val="auto"/>
                <w:szCs w:val="21"/>
                <w:highlight w:val="none"/>
                <w:shd w:val="clear"/>
                <w:lang w:val="zh-TW" w:eastAsia="zh-TW"/>
              </w:rPr>
              <w:t>，提供相关证明材料。</w:t>
            </w:r>
            <w:r>
              <w:rPr>
                <w:rFonts w:hint="eastAsia" w:ascii="宋体" w:hAnsi="宋体" w:eastAsia="宋体" w:cs="宋体"/>
                <w:color w:val="auto"/>
                <w:szCs w:val="21"/>
                <w:highlight w:val="none"/>
                <w:shd w:val="clear"/>
                <w:lang w:val="zh-TW" w:eastAsia="zh-TW"/>
              </w:rPr>
              <w:t>人员配备齐全且证明材料满足要求得满分</w:t>
            </w:r>
            <w:r>
              <w:rPr>
                <w:rFonts w:hint="eastAsia" w:ascii="宋体" w:hAnsi="宋体" w:eastAsia="宋体" w:cs="宋体"/>
                <w:color w:val="auto"/>
                <w:szCs w:val="21"/>
                <w:highlight w:val="none"/>
                <w:shd w:val="clear"/>
              </w:rPr>
              <w:t>15</w:t>
            </w:r>
            <w:r>
              <w:rPr>
                <w:rFonts w:hint="eastAsia" w:ascii="宋体" w:hAnsi="宋体" w:eastAsia="宋体" w:cs="宋体"/>
                <w:color w:val="auto"/>
                <w:szCs w:val="21"/>
                <w:highlight w:val="none"/>
                <w:shd w:val="clear"/>
                <w:lang w:val="zh-TW" w:eastAsia="zh-TW"/>
              </w:rPr>
              <w:t>分，缺少一个扣</w:t>
            </w:r>
            <w:r>
              <w:rPr>
                <w:rFonts w:hint="eastAsia" w:ascii="宋体" w:hAnsi="宋体" w:eastAsia="宋体" w:cs="宋体"/>
                <w:color w:val="auto"/>
                <w:szCs w:val="21"/>
                <w:highlight w:val="none"/>
                <w:shd w:val="clear"/>
              </w:rPr>
              <w:t>3</w:t>
            </w:r>
            <w:r>
              <w:rPr>
                <w:rFonts w:hint="eastAsia" w:ascii="宋体" w:hAnsi="宋体" w:eastAsia="宋体" w:cs="宋体"/>
                <w:color w:val="auto"/>
                <w:szCs w:val="21"/>
                <w:highlight w:val="none"/>
                <w:shd w:val="clear"/>
                <w:lang w:val="zh-TW"/>
              </w:rPr>
              <w:t>分。</w:t>
            </w:r>
          </w:p>
        </w:tc>
      </w:tr>
    </w:tbl>
    <w:p w14:paraId="632E0634">
      <w:pPr>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w:t>
      </w:r>
    </w:p>
    <w:p w14:paraId="4372AA6C">
      <w:pPr>
        <w:numPr>
          <w:ilvl w:val="0"/>
          <w:numId w:val="8"/>
        </w:num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评分标准中要求提供</w:t>
      </w:r>
      <w:r>
        <w:rPr>
          <w:rFonts w:hint="eastAsia" w:ascii="宋体" w:hAnsi="宋体" w:eastAsia="宋体" w:cs="宋体"/>
          <w:b/>
          <w:bCs/>
          <w:color w:val="auto"/>
          <w:szCs w:val="21"/>
          <w:highlight w:val="none"/>
        </w:rPr>
        <w:t>原件备查</w:t>
      </w:r>
      <w:r>
        <w:rPr>
          <w:rFonts w:hint="eastAsia" w:ascii="宋体" w:hAnsi="宋体" w:eastAsia="宋体" w:cs="宋体"/>
          <w:color w:val="auto"/>
          <w:szCs w:val="21"/>
          <w:highlight w:val="none"/>
        </w:rPr>
        <w:t>的，</w:t>
      </w:r>
      <w:r>
        <w:rPr>
          <w:rFonts w:hint="eastAsia" w:ascii="宋体" w:hAnsi="宋体" w:eastAsia="宋体" w:cs="宋体"/>
          <w:b/>
          <w:bCs/>
          <w:color w:val="auto"/>
          <w:szCs w:val="21"/>
          <w:highlight w:val="none"/>
        </w:rPr>
        <w:t>必须提供相关原件，否则与之对应项不得分</w:t>
      </w:r>
      <w:r>
        <w:rPr>
          <w:rFonts w:hint="eastAsia" w:ascii="宋体" w:hAnsi="宋体" w:eastAsia="宋体" w:cs="宋体"/>
          <w:color w:val="auto"/>
          <w:szCs w:val="21"/>
          <w:highlight w:val="none"/>
        </w:rPr>
        <w:t>。</w:t>
      </w:r>
    </w:p>
    <w:p w14:paraId="2E9560A3">
      <w:pPr>
        <w:numPr>
          <w:ilvl w:val="0"/>
          <w:numId w:val="8"/>
        </w:num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提供的材料中涉及评标的相关数据不一致的，以数额较小的为准。</w:t>
      </w:r>
    </w:p>
    <w:p w14:paraId="2DFD714A">
      <w:pPr>
        <w:numPr>
          <w:ilvl w:val="0"/>
          <w:numId w:val="8"/>
        </w:num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不是供应商承接的，不予计分。</w:t>
      </w:r>
    </w:p>
    <w:p w14:paraId="5157C02C">
      <w:pPr>
        <w:numPr>
          <w:ilvl w:val="0"/>
          <w:numId w:val="8"/>
        </w:num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投标文件的正本和副本中均需提供相关原件的复印件加盖供应商公章。</w:t>
      </w:r>
    </w:p>
    <w:p w14:paraId="49167E67">
      <w:pPr>
        <w:numPr>
          <w:ilvl w:val="0"/>
          <w:numId w:val="8"/>
        </w:num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若发现有提供虚假的证明材料，视为无效响应，追究相关责任。</w:t>
      </w:r>
    </w:p>
    <w:p w14:paraId="09EECEA4">
      <w:pPr>
        <w:rPr>
          <w:rFonts w:hint="eastAsia" w:ascii="宋体" w:hAnsi="宋体" w:eastAsia="宋体" w:cs="宋体"/>
          <w:color w:val="auto"/>
          <w:sz w:val="36"/>
          <w:highlight w:val="none"/>
        </w:rPr>
      </w:pPr>
      <w:bookmarkStart w:id="121" w:name="_Toc18798"/>
      <w:bookmarkStart w:id="122" w:name="_Toc497133123"/>
      <w:r>
        <w:rPr>
          <w:rFonts w:hint="eastAsia" w:ascii="宋体" w:hAnsi="宋体" w:eastAsia="宋体" w:cs="宋体"/>
          <w:color w:val="auto"/>
          <w:sz w:val="36"/>
          <w:highlight w:val="none"/>
        </w:rPr>
        <w:br w:type="page"/>
      </w:r>
    </w:p>
    <w:p w14:paraId="1E352B36">
      <w:pPr>
        <w:pStyle w:val="2"/>
        <w:spacing w:after="340" w:line="480" w:lineRule="auto"/>
        <w:jc w:val="center"/>
        <w:rPr>
          <w:rFonts w:hint="eastAsia" w:ascii="宋体" w:hAnsi="宋体" w:eastAsia="宋体" w:cs="宋体"/>
          <w:color w:val="auto"/>
          <w:sz w:val="36"/>
          <w:highlight w:val="none"/>
        </w:rPr>
      </w:pPr>
      <w:bookmarkStart w:id="123" w:name="_Toc29163"/>
      <w:r>
        <w:rPr>
          <w:rFonts w:hint="eastAsia" w:ascii="宋体" w:hAnsi="宋体" w:eastAsia="宋体" w:cs="宋体"/>
          <w:color w:val="auto"/>
          <w:sz w:val="36"/>
          <w:highlight w:val="none"/>
        </w:rPr>
        <w:t>第六章 投标文件格式</w:t>
      </w:r>
      <w:bookmarkEnd w:id="121"/>
      <w:bookmarkEnd w:id="122"/>
      <w:bookmarkEnd w:id="123"/>
    </w:p>
    <w:p w14:paraId="1EDA837C">
      <w:pPr>
        <w:jc w:val="center"/>
        <w:rPr>
          <w:rFonts w:hint="eastAsia" w:ascii="宋体" w:hAnsi="宋体" w:eastAsia="宋体" w:cs="宋体"/>
          <w:b/>
          <w:color w:val="auto"/>
          <w:sz w:val="36"/>
          <w:highlight w:val="none"/>
        </w:rPr>
      </w:pPr>
    </w:p>
    <w:p w14:paraId="6C783015">
      <w:pPr>
        <w:jc w:val="center"/>
        <w:rPr>
          <w:rFonts w:hint="eastAsia" w:ascii="宋体" w:hAnsi="宋体" w:eastAsia="宋体" w:cs="宋体"/>
          <w:b/>
          <w:color w:val="auto"/>
          <w:szCs w:val="21"/>
          <w:highlight w:val="none"/>
        </w:rPr>
      </w:pPr>
    </w:p>
    <w:p w14:paraId="42245331">
      <w:pPr>
        <w:jc w:val="center"/>
        <w:rPr>
          <w:rFonts w:hint="eastAsia" w:ascii="宋体" w:hAnsi="宋体" w:eastAsia="宋体" w:cs="宋体"/>
          <w:b/>
          <w:color w:val="auto"/>
          <w:sz w:val="22"/>
          <w:szCs w:val="21"/>
          <w:highlight w:val="none"/>
        </w:rPr>
      </w:pPr>
    </w:p>
    <w:p w14:paraId="709A18F2">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14:paraId="301F9B46">
      <w:pPr>
        <w:jc w:val="center"/>
        <w:rPr>
          <w:rFonts w:hint="eastAsia" w:ascii="宋体" w:hAnsi="宋体" w:eastAsia="宋体" w:cs="宋体"/>
          <w:b/>
          <w:color w:val="auto"/>
          <w:sz w:val="72"/>
          <w:highlight w:val="none"/>
        </w:rPr>
      </w:pPr>
    </w:p>
    <w:p w14:paraId="625FD23F">
      <w:pPr>
        <w:jc w:val="center"/>
        <w:rPr>
          <w:rFonts w:hint="eastAsia" w:ascii="宋体" w:hAnsi="宋体" w:eastAsia="宋体" w:cs="宋体"/>
          <w:b/>
          <w:color w:val="auto"/>
          <w:sz w:val="72"/>
          <w:highlight w:val="none"/>
        </w:rPr>
      </w:pPr>
    </w:p>
    <w:p w14:paraId="6E997A0E">
      <w:pPr>
        <w:jc w:val="center"/>
        <w:rPr>
          <w:rFonts w:hint="eastAsia" w:ascii="宋体" w:hAnsi="宋体" w:eastAsia="宋体" w:cs="宋体"/>
          <w:b/>
          <w:color w:val="auto"/>
          <w:sz w:val="36"/>
          <w:highlight w:val="none"/>
        </w:rPr>
      </w:pPr>
    </w:p>
    <w:p w14:paraId="45BB2A17">
      <w:pPr>
        <w:jc w:val="center"/>
        <w:rPr>
          <w:rFonts w:hint="eastAsia" w:ascii="宋体" w:hAnsi="宋体" w:eastAsia="宋体" w:cs="宋体"/>
          <w:b/>
          <w:color w:val="auto"/>
          <w:sz w:val="36"/>
          <w:highlight w:val="none"/>
        </w:rPr>
      </w:pPr>
    </w:p>
    <w:p w14:paraId="1890A6AB">
      <w:pPr>
        <w:jc w:val="center"/>
        <w:rPr>
          <w:rFonts w:hint="eastAsia" w:ascii="宋体" w:hAnsi="宋体" w:eastAsia="宋体" w:cs="宋体"/>
          <w:b/>
          <w:color w:val="auto"/>
          <w:sz w:val="36"/>
          <w:highlight w:val="none"/>
        </w:rPr>
      </w:pPr>
    </w:p>
    <w:p w14:paraId="3B96C311">
      <w:pPr>
        <w:ind w:left="2166" w:leftChars="171" w:hanging="1807" w:hangingChars="500"/>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6"/>
          <w:highlight w:val="none"/>
        </w:rPr>
        <w:t>项目名称：</w:t>
      </w:r>
      <w:r>
        <w:rPr>
          <w:rFonts w:hint="eastAsia" w:ascii="宋体" w:hAnsi="宋体" w:eastAsia="宋体" w:cs="宋体"/>
          <w:b/>
          <w:bCs/>
          <w:color w:val="auto"/>
          <w:sz w:val="36"/>
          <w:szCs w:val="36"/>
          <w:highlight w:val="none"/>
          <w:lang w:eastAsia="zh-CN"/>
        </w:rPr>
        <w:t>GZ627地块房地产开发项目策划服务（第一期）</w:t>
      </w:r>
    </w:p>
    <w:p w14:paraId="4376A02C">
      <w:pPr>
        <w:ind w:firstLine="361" w:firstLineChars="100"/>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6"/>
          <w:highlight w:val="none"/>
        </w:rPr>
        <w:t>编       号：</w:t>
      </w:r>
      <w:r>
        <w:rPr>
          <w:rFonts w:hint="eastAsia" w:ascii="宋体" w:hAnsi="宋体" w:eastAsia="宋体" w:cs="宋体"/>
          <w:b/>
          <w:color w:val="auto"/>
          <w:sz w:val="36"/>
          <w:highlight w:val="none"/>
          <w:lang w:eastAsia="zh-CN"/>
        </w:rPr>
        <w:t>JSSDZX-2025125号</w:t>
      </w:r>
    </w:p>
    <w:p w14:paraId="5A41E15F">
      <w:pPr>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投标人名称 ：</w:t>
      </w:r>
    </w:p>
    <w:p w14:paraId="180835D8">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日      期 ：</w:t>
      </w:r>
    </w:p>
    <w:p w14:paraId="2D8836AD">
      <w:pPr>
        <w:spacing w:line="440" w:lineRule="exact"/>
        <w:jc w:val="center"/>
        <w:rPr>
          <w:rFonts w:hint="eastAsia" w:ascii="宋体" w:hAnsi="宋体" w:eastAsia="宋体" w:cs="宋体"/>
          <w:b/>
          <w:bCs/>
          <w:color w:val="auto"/>
          <w:sz w:val="32"/>
          <w:szCs w:val="32"/>
          <w:highlight w:val="none"/>
        </w:rPr>
      </w:pPr>
    </w:p>
    <w:p w14:paraId="01204C0D">
      <w:pPr>
        <w:spacing w:line="440" w:lineRule="exact"/>
        <w:ind w:firstLine="480" w:firstLineChars="200"/>
        <w:rPr>
          <w:rFonts w:hint="eastAsia" w:ascii="宋体" w:hAnsi="宋体" w:eastAsia="宋体" w:cs="宋体"/>
          <w:color w:val="auto"/>
          <w:sz w:val="24"/>
          <w:highlight w:val="none"/>
        </w:rPr>
      </w:pPr>
    </w:p>
    <w:p w14:paraId="784A2184">
      <w:pPr>
        <w:spacing w:line="440" w:lineRule="exact"/>
        <w:ind w:firstLine="480" w:firstLineChars="200"/>
        <w:rPr>
          <w:rFonts w:hint="eastAsia" w:ascii="宋体" w:hAnsi="宋体" w:eastAsia="宋体" w:cs="宋体"/>
          <w:color w:val="auto"/>
          <w:sz w:val="24"/>
          <w:highlight w:val="none"/>
        </w:rPr>
      </w:pPr>
    </w:p>
    <w:p w14:paraId="2D88A6ED">
      <w:pPr>
        <w:spacing w:beforeLines="100" w:afterLines="100"/>
        <w:jc w:val="center"/>
        <w:rPr>
          <w:rFonts w:hint="eastAsia" w:ascii="宋体" w:hAnsi="宋体" w:eastAsia="宋体" w:cs="宋体"/>
          <w:b/>
          <w:color w:val="auto"/>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Cs w:val="21"/>
          <w:highlight w:val="none"/>
        </w:rPr>
        <w:t>评分索引表</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292"/>
      </w:tblGrid>
      <w:tr w14:paraId="75FF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088E39C">
            <w:pPr>
              <w:jc w:val="center"/>
              <w:rPr>
                <w:rFonts w:hint="eastAsia" w:ascii="宋体" w:hAnsi="宋体" w:eastAsia="宋体" w:cs="宋体"/>
                <w:color w:val="auto"/>
                <w:highlight w:val="none"/>
              </w:rPr>
            </w:pPr>
            <w:r>
              <w:rPr>
                <w:rFonts w:hint="eastAsia" w:ascii="宋体" w:hAnsi="宋体" w:eastAsia="宋体" w:cs="宋体"/>
                <w:color w:val="auto"/>
                <w:highlight w:val="none"/>
              </w:rPr>
              <w:t>评分项目</w:t>
            </w:r>
          </w:p>
        </w:tc>
        <w:tc>
          <w:tcPr>
            <w:tcW w:w="3292" w:type="dxa"/>
            <w:tcBorders>
              <w:top w:val="single" w:color="auto" w:sz="4" w:space="0"/>
              <w:left w:val="single" w:color="auto" w:sz="4" w:space="0"/>
              <w:bottom w:val="single" w:color="auto" w:sz="4" w:space="0"/>
              <w:right w:val="single" w:color="auto" w:sz="4" w:space="0"/>
            </w:tcBorders>
            <w:vAlign w:val="center"/>
          </w:tcPr>
          <w:p w14:paraId="52407733">
            <w:pPr>
              <w:jc w:val="center"/>
              <w:rPr>
                <w:rFonts w:hint="eastAsia" w:ascii="宋体" w:hAnsi="宋体" w:eastAsia="宋体" w:cs="宋体"/>
                <w:color w:val="auto"/>
                <w:highlight w:val="none"/>
              </w:rPr>
            </w:pPr>
            <w:r>
              <w:rPr>
                <w:rFonts w:hint="eastAsia" w:ascii="宋体" w:hAnsi="宋体" w:eastAsia="宋体" w:cs="宋体"/>
                <w:color w:val="auto"/>
                <w:highlight w:val="none"/>
              </w:rPr>
              <w:t>在投标文件中的页码位置</w:t>
            </w:r>
          </w:p>
        </w:tc>
      </w:tr>
      <w:tr w14:paraId="0CBB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7461FF2F">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660BA894">
            <w:pPr>
              <w:jc w:val="center"/>
              <w:rPr>
                <w:rFonts w:hint="eastAsia" w:ascii="宋体" w:hAnsi="宋体" w:eastAsia="宋体" w:cs="宋体"/>
                <w:color w:val="auto"/>
                <w:highlight w:val="none"/>
              </w:rPr>
            </w:pPr>
          </w:p>
        </w:tc>
      </w:tr>
      <w:tr w14:paraId="4AE7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055CD18D">
            <w:pPr>
              <w:jc w:val="center"/>
              <w:rPr>
                <w:rFonts w:hint="eastAsia" w:ascii="宋体" w:hAnsi="宋体" w:eastAsia="宋体" w:cs="宋体"/>
                <w:color w:val="auto"/>
                <w:highlight w:val="none"/>
              </w:rPr>
            </w:pPr>
          </w:p>
        </w:tc>
      </w:tr>
      <w:tr w14:paraId="6F3B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1CB69CB">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0B827CFF">
            <w:pPr>
              <w:jc w:val="center"/>
              <w:rPr>
                <w:rFonts w:hint="eastAsia" w:ascii="宋体" w:hAnsi="宋体" w:eastAsia="宋体" w:cs="宋体"/>
                <w:color w:val="auto"/>
                <w:highlight w:val="none"/>
              </w:rPr>
            </w:pPr>
          </w:p>
        </w:tc>
      </w:tr>
      <w:tr w14:paraId="268D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41C77D12">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507054E8">
            <w:pPr>
              <w:jc w:val="center"/>
              <w:rPr>
                <w:rFonts w:hint="eastAsia" w:ascii="宋体" w:hAnsi="宋体" w:eastAsia="宋体" w:cs="宋体"/>
                <w:color w:val="auto"/>
                <w:highlight w:val="none"/>
              </w:rPr>
            </w:pPr>
          </w:p>
        </w:tc>
      </w:tr>
      <w:tr w14:paraId="6A96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32E7B707">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42FB877B">
            <w:pPr>
              <w:jc w:val="center"/>
              <w:rPr>
                <w:rFonts w:hint="eastAsia" w:ascii="宋体" w:hAnsi="宋体" w:eastAsia="宋体" w:cs="宋体"/>
                <w:color w:val="auto"/>
                <w:highlight w:val="none"/>
              </w:rPr>
            </w:pPr>
          </w:p>
        </w:tc>
      </w:tr>
      <w:tr w14:paraId="1CD0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002FCC74">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550DD278">
            <w:pPr>
              <w:jc w:val="center"/>
              <w:rPr>
                <w:rFonts w:hint="eastAsia" w:ascii="宋体" w:hAnsi="宋体" w:eastAsia="宋体" w:cs="宋体"/>
                <w:color w:val="auto"/>
                <w:highlight w:val="none"/>
              </w:rPr>
            </w:pPr>
          </w:p>
        </w:tc>
      </w:tr>
      <w:tr w14:paraId="2E7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2D1577D">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2312EE0C">
            <w:pPr>
              <w:jc w:val="center"/>
              <w:rPr>
                <w:rFonts w:hint="eastAsia" w:ascii="宋体" w:hAnsi="宋体" w:eastAsia="宋体" w:cs="宋体"/>
                <w:color w:val="auto"/>
                <w:highlight w:val="none"/>
              </w:rPr>
            </w:pPr>
          </w:p>
        </w:tc>
      </w:tr>
      <w:tr w14:paraId="02DD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496049C0">
            <w:pPr>
              <w:jc w:val="center"/>
              <w:rPr>
                <w:rFonts w:hint="eastAsia" w:ascii="宋体" w:hAnsi="宋体" w:eastAsia="宋体" w:cs="宋体"/>
                <w:color w:val="auto"/>
                <w:highlight w:val="none"/>
              </w:rPr>
            </w:pPr>
          </w:p>
        </w:tc>
      </w:tr>
      <w:tr w14:paraId="7599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76CD8EBC">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0CE51734">
            <w:pPr>
              <w:jc w:val="center"/>
              <w:rPr>
                <w:rFonts w:hint="eastAsia" w:ascii="宋体" w:hAnsi="宋体" w:eastAsia="宋体" w:cs="宋体"/>
                <w:color w:val="auto"/>
                <w:highlight w:val="none"/>
              </w:rPr>
            </w:pPr>
          </w:p>
        </w:tc>
      </w:tr>
      <w:tr w14:paraId="3897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0EF61DEE">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31121F3C">
            <w:pPr>
              <w:jc w:val="center"/>
              <w:rPr>
                <w:rFonts w:hint="eastAsia" w:ascii="宋体" w:hAnsi="宋体" w:eastAsia="宋体" w:cs="宋体"/>
                <w:color w:val="auto"/>
                <w:highlight w:val="none"/>
              </w:rPr>
            </w:pPr>
          </w:p>
        </w:tc>
      </w:tr>
      <w:tr w14:paraId="36C9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6151045D">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52F8303F">
            <w:pPr>
              <w:jc w:val="center"/>
              <w:rPr>
                <w:rFonts w:hint="eastAsia" w:ascii="宋体" w:hAnsi="宋体" w:eastAsia="宋体" w:cs="宋体"/>
                <w:color w:val="auto"/>
                <w:highlight w:val="none"/>
              </w:rPr>
            </w:pPr>
          </w:p>
        </w:tc>
      </w:tr>
      <w:tr w14:paraId="3007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05EDD3B3">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57E7C953">
            <w:pPr>
              <w:jc w:val="center"/>
              <w:rPr>
                <w:rFonts w:hint="eastAsia" w:ascii="宋体" w:hAnsi="宋体" w:eastAsia="宋体" w:cs="宋体"/>
                <w:color w:val="auto"/>
                <w:highlight w:val="none"/>
              </w:rPr>
            </w:pPr>
          </w:p>
        </w:tc>
      </w:tr>
      <w:tr w14:paraId="5B17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6F5FADC4">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766E04EE">
            <w:pPr>
              <w:jc w:val="center"/>
              <w:rPr>
                <w:rFonts w:hint="eastAsia" w:ascii="宋体" w:hAnsi="宋体" w:eastAsia="宋体" w:cs="宋体"/>
                <w:color w:val="auto"/>
                <w:highlight w:val="none"/>
              </w:rPr>
            </w:pPr>
          </w:p>
        </w:tc>
      </w:tr>
      <w:tr w14:paraId="6017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4F4F2E07">
            <w:pPr>
              <w:jc w:val="center"/>
              <w:rPr>
                <w:rFonts w:hint="eastAsia" w:ascii="宋体" w:hAnsi="宋体" w:eastAsia="宋体" w:cs="宋体"/>
                <w:color w:val="auto"/>
                <w:highlight w:val="none"/>
              </w:rPr>
            </w:pPr>
          </w:p>
        </w:tc>
      </w:tr>
      <w:tr w14:paraId="74E0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CF49AE6">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09B07B7A">
            <w:pPr>
              <w:jc w:val="center"/>
              <w:rPr>
                <w:rFonts w:hint="eastAsia" w:ascii="宋体" w:hAnsi="宋体" w:eastAsia="宋体" w:cs="宋体"/>
                <w:color w:val="auto"/>
                <w:highlight w:val="none"/>
              </w:rPr>
            </w:pPr>
          </w:p>
        </w:tc>
      </w:tr>
      <w:tr w14:paraId="43DE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3E7229AA">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1159CEC5">
            <w:pPr>
              <w:jc w:val="center"/>
              <w:rPr>
                <w:rFonts w:hint="eastAsia" w:ascii="宋体" w:hAnsi="宋体" w:eastAsia="宋体" w:cs="宋体"/>
                <w:color w:val="auto"/>
                <w:highlight w:val="none"/>
              </w:rPr>
            </w:pPr>
          </w:p>
        </w:tc>
      </w:tr>
      <w:tr w14:paraId="60FB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3597C497">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7A1DB139">
            <w:pPr>
              <w:jc w:val="center"/>
              <w:rPr>
                <w:rFonts w:hint="eastAsia" w:ascii="宋体" w:hAnsi="宋体" w:eastAsia="宋体" w:cs="宋体"/>
                <w:color w:val="auto"/>
                <w:highlight w:val="none"/>
              </w:rPr>
            </w:pPr>
          </w:p>
        </w:tc>
      </w:tr>
      <w:tr w14:paraId="6828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33D3DC0F">
            <w:pPr>
              <w:jc w:val="center"/>
              <w:rPr>
                <w:rFonts w:hint="eastAsia" w:ascii="宋体" w:hAnsi="宋体" w:eastAsia="宋体" w:cs="宋体"/>
                <w:color w:val="auto"/>
                <w:highlight w:val="none"/>
              </w:rPr>
            </w:pPr>
          </w:p>
        </w:tc>
      </w:tr>
      <w:tr w14:paraId="1E9C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4E4DA6B7">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0B376A99">
            <w:pPr>
              <w:jc w:val="center"/>
              <w:rPr>
                <w:rFonts w:hint="eastAsia" w:ascii="宋体" w:hAnsi="宋体" w:eastAsia="宋体" w:cs="宋体"/>
                <w:color w:val="auto"/>
                <w:highlight w:val="none"/>
              </w:rPr>
            </w:pPr>
          </w:p>
        </w:tc>
      </w:tr>
      <w:tr w14:paraId="3849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DAB383A">
            <w:pPr>
              <w:jc w:val="center"/>
              <w:rPr>
                <w:rFonts w:hint="eastAsia" w:ascii="宋体" w:hAnsi="宋体" w:eastAsia="宋体" w:cs="宋体"/>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47122FE9">
            <w:pPr>
              <w:jc w:val="center"/>
              <w:rPr>
                <w:rFonts w:hint="eastAsia" w:ascii="宋体" w:hAnsi="宋体" w:eastAsia="宋体" w:cs="宋体"/>
                <w:color w:val="auto"/>
                <w:highlight w:val="none"/>
              </w:rPr>
            </w:pPr>
          </w:p>
        </w:tc>
      </w:tr>
    </w:tbl>
    <w:p w14:paraId="70714C00">
      <w:pPr>
        <w:rPr>
          <w:rFonts w:hint="eastAsia" w:ascii="宋体" w:hAnsi="宋体" w:eastAsia="宋体" w:cs="宋体"/>
          <w:color w:val="auto"/>
          <w:highlight w:val="none"/>
        </w:rPr>
      </w:pPr>
    </w:p>
    <w:p w14:paraId="26F9CA30">
      <w:pPr>
        <w:spacing w:afterLines="100"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color w:val="auto"/>
          <w:sz w:val="36"/>
          <w:highlight w:val="none"/>
          <w:u w:val="single"/>
        </w:rPr>
        <w:br w:type="page"/>
      </w:r>
      <w:r>
        <w:rPr>
          <w:rFonts w:hint="eastAsia" w:ascii="宋体" w:hAnsi="宋体" w:eastAsia="宋体" w:cs="宋体"/>
          <w:b/>
          <w:bCs/>
          <w:color w:val="auto"/>
          <w:szCs w:val="21"/>
          <w:highlight w:val="none"/>
        </w:rPr>
        <w:t>投标主要文件目录</w:t>
      </w:r>
    </w:p>
    <w:p w14:paraId="110985A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一、资格性和符合性检查响应对照表</w:t>
      </w:r>
    </w:p>
    <w:p w14:paraId="3FD8EB9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资格证明文件</w:t>
      </w:r>
    </w:p>
    <w:p w14:paraId="62C9D22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三、开标一览表</w:t>
      </w:r>
    </w:p>
    <w:p w14:paraId="78D0B64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四、分项报价表</w:t>
      </w:r>
    </w:p>
    <w:p w14:paraId="345BC96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五、项目组人员配置</w:t>
      </w:r>
    </w:p>
    <w:p w14:paraId="5FA49A6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六、技术参数响应及偏离表</w:t>
      </w:r>
    </w:p>
    <w:p w14:paraId="059B3E8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七、商务条款响应及偏离表</w:t>
      </w:r>
    </w:p>
    <w:p w14:paraId="42D5FC7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方案</w:t>
      </w:r>
    </w:p>
    <w:p w14:paraId="01CBCFAD">
      <w:pPr>
        <w:jc w:val="left"/>
        <w:rPr>
          <w:rFonts w:hint="eastAsia" w:ascii="宋体" w:hAnsi="宋体" w:eastAsia="宋体" w:cs="宋体"/>
          <w:color w:val="auto"/>
          <w:szCs w:val="21"/>
          <w:highlight w:val="none"/>
        </w:rPr>
      </w:pPr>
    </w:p>
    <w:p w14:paraId="3082C7D6">
      <w:pPr>
        <w:ind w:left="420" w:left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p>
    <w:p w14:paraId="4317030D">
      <w:pPr>
        <w:jc w:val="left"/>
        <w:rPr>
          <w:rFonts w:hint="eastAsia" w:ascii="宋体" w:hAnsi="宋体" w:eastAsia="宋体" w:cs="宋体"/>
          <w:b/>
          <w:color w:val="auto"/>
          <w:szCs w:val="21"/>
          <w:highlight w:val="none"/>
        </w:rPr>
      </w:pPr>
    </w:p>
    <w:p w14:paraId="421FA3CF">
      <w:pPr>
        <w:jc w:val="left"/>
        <w:rPr>
          <w:rFonts w:hint="eastAsia" w:ascii="宋体" w:hAnsi="宋体" w:eastAsia="宋体" w:cs="宋体"/>
          <w:b/>
          <w:color w:val="auto"/>
          <w:szCs w:val="21"/>
          <w:highlight w:val="none"/>
        </w:rPr>
      </w:pPr>
    </w:p>
    <w:p w14:paraId="4B496284">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10AF0F64">
      <w:pPr>
        <w:spacing w:afterLines="10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一、资格性和符合性检查响应对照表</w:t>
      </w:r>
    </w:p>
    <w:p w14:paraId="706A96A0">
      <w:pPr>
        <w:spacing w:afterLines="100" w:line="360" w:lineRule="auto"/>
        <w:ind w:right="210" w:rightChars="100" w:firstLine="306"/>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5465"/>
        <w:gridCol w:w="1862"/>
        <w:gridCol w:w="1817"/>
      </w:tblGrid>
      <w:tr w14:paraId="3958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A58D272">
            <w:pPr>
              <w:adjustRightInd w:val="0"/>
              <w:snapToGrid w:val="0"/>
              <w:spacing w:after="200"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34F6B1D3">
            <w:pPr>
              <w:adjustRightInd w:val="0"/>
              <w:snapToGrid w:val="0"/>
              <w:spacing w:after="200"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资格性和符合性检查响应内容</w:t>
            </w:r>
          </w:p>
        </w:tc>
        <w:tc>
          <w:tcPr>
            <w:tcW w:w="945" w:type="pct"/>
            <w:tcBorders>
              <w:top w:val="single" w:color="auto" w:sz="4" w:space="0"/>
              <w:left w:val="single" w:color="auto" w:sz="4" w:space="0"/>
              <w:bottom w:val="single" w:color="auto" w:sz="4" w:space="0"/>
              <w:right w:val="single" w:color="auto" w:sz="4" w:space="0"/>
            </w:tcBorders>
            <w:vAlign w:val="center"/>
          </w:tcPr>
          <w:p w14:paraId="5F5D63B0">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是否响应</w:t>
            </w:r>
          </w:p>
          <w:p w14:paraId="057E84A6">
            <w:pPr>
              <w:adjustRightInd w:val="0"/>
              <w:snapToGrid w:val="0"/>
              <w:spacing w:after="200"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51F8E72C">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投标文件中的</w:t>
            </w:r>
          </w:p>
          <w:p w14:paraId="4B307780">
            <w:pPr>
              <w:adjustRightInd w:val="0"/>
              <w:snapToGrid w:val="0"/>
              <w:spacing w:after="200"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页码位置</w:t>
            </w:r>
          </w:p>
        </w:tc>
      </w:tr>
      <w:tr w14:paraId="428B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6AF6B9F">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1A6A761C">
            <w:pPr>
              <w:adjustRightInd w:val="0"/>
              <w:snapToGrid w:val="0"/>
              <w:spacing w:after="200" w:line="480" w:lineRule="exac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12C77D99">
            <w:pPr>
              <w:adjustRightInd w:val="0"/>
              <w:snapToGrid w:val="0"/>
              <w:spacing w:after="200" w:line="220" w:lineRule="atLeast"/>
              <w:rPr>
                <w:rFonts w:hint="eastAsia" w:ascii="宋体" w:hAnsi="宋体" w:eastAsia="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FADB253">
            <w:pPr>
              <w:adjustRightInd w:val="0"/>
              <w:snapToGrid w:val="0"/>
              <w:spacing w:after="200" w:line="220" w:lineRule="atLeast"/>
              <w:rPr>
                <w:rFonts w:hint="eastAsia" w:ascii="宋体" w:hAnsi="宋体" w:eastAsia="宋体" w:cs="宋体"/>
                <w:b/>
                <w:color w:val="auto"/>
                <w:szCs w:val="21"/>
                <w:highlight w:val="none"/>
              </w:rPr>
            </w:pPr>
          </w:p>
        </w:tc>
      </w:tr>
      <w:tr w14:paraId="02B6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C95761D">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046CD4FD">
            <w:pPr>
              <w:adjustRightInd w:val="0"/>
              <w:snapToGrid w:val="0"/>
              <w:spacing w:after="200" w:line="480" w:lineRule="exac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40325684">
            <w:pPr>
              <w:adjustRightInd w:val="0"/>
              <w:snapToGrid w:val="0"/>
              <w:spacing w:after="200" w:line="220" w:lineRule="atLeast"/>
              <w:rPr>
                <w:rFonts w:hint="eastAsia" w:ascii="宋体" w:hAnsi="宋体" w:eastAsia="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5F19645">
            <w:pPr>
              <w:adjustRightInd w:val="0"/>
              <w:snapToGrid w:val="0"/>
              <w:spacing w:after="200" w:line="220" w:lineRule="atLeast"/>
              <w:rPr>
                <w:rFonts w:hint="eastAsia" w:ascii="宋体" w:hAnsi="宋体" w:eastAsia="宋体" w:cs="宋体"/>
                <w:color w:val="auto"/>
                <w:szCs w:val="21"/>
                <w:highlight w:val="none"/>
              </w:rPr>
            </w:pPr>
          </w:p>
        </w:tc>
      </w:tr>
      <w:tr w14:paraId="4679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37D441">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74696E3F">
            <w:pPr>
              <w:adjustRightInd w:val="0"/>
              <w:snapToGrid w:val="0"/>
              <w:spacing w:after="200" w:line="480" w:lineRule="exac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6BF1B7D9">
            <w:pPr>
              <w:adjustRightInd w:val="0"/>
              <w:snapToGrid w:val="0"/>
              <w:spacing w:after="200" w:line="220" w:lineRule="atLeast"/>
              <w:rPr>
                <w:rFonts w:hint="eastAsia" w:ascii="宋体" w:hAnsi="宋体" w:eastAsia="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3480CE1B">
            <w:pPr>
              <w:adjustRightInd w:val="0"/>
              <w:snapToGrid w:val="0"/>
              <w:spacing w:after="200" w:line="220" w:lineRule="atLeast"/>
              <w:rPr>
                <w:rFonts w:hint="eastAsia" w:ascii="宋体" w:hAnsi="宋体" w:eastAsia="宋体" w:cs="宋体"/>
                <w:color w:val="auto"/>
                <w:szCs w:val="21"/>
                <w:highlight w:val="none"/>
              </w:rPr>
            </w:pPr>
          </w:p>
        </w:tc>
      </w:tr>
      <w:tr w14:paraId="30BB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123B082">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7C30DAF5">
            <w:pPr>
              <w:adjustRightInd w:val="0"/>
              <w:snapToGrid w:val="0"/>
              <w:spacing w:after="200" w:line="360" w:lineRule="auto"/>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476D242C">
            <w:pPr>
              <w:adjustRightInd w:val="0"/>
              <w:snapToGrid w:val="0"/>
              <w:spacing w:after="200" w:line="220" w:lineRule="atLeast"/>
              <w:rPr>
                <w:rFonts w:hint="eastAsia" w:ascii="宋体" w:hAnsi="宋体" w:eastAsia="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33663FE3">
            <w:pPr>
              <w:adjustRightInd w:val="0"/>
              <w:snapToGrid w:val="0"/>
              <w:spacing w:after="200" w:line="220" w:lineRule="atLeast"/>
              <w:rPr>
                <w:rFonts w:hint="eastAsia" w:ascii="宋体" w:hAnsi="宋体" w:eastAsia="宋体" w:cs="宋体"/>
                <w:color w:val="auto"/>
                <w:szCs w:val="21"/>
                <w:highlight w:val="none"/>
              </w:rPr>
            </w:pPr>
          </w:p>
        </w:tc>
      </w:tr>
      <w:tr w14:paraId="2B87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1FD4C47">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50DE9113">
            <w:pPr>
              <w:adjustRightInd w:val="0"/>
              <w:snapToGrid w:val="0"/>
              <w:spacing w:after="200" w:line="590" w:lineRule="atLeas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04F8CD85">
            <w:pPr>
              <w:adjustRightInd w:val="0"/>
              <w:snapToGrid w:val="0"/>
              <w:spacing w:after="200" w:line="220" w:lineRule="atLeast"/>
              <w:rPr>
                <w:rFonts w:hint="eastAsia" w:ascii="宋体" w:hAnsi="宋体" w:eastAsia="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E51B500">
            <w:pPr>
              <w:adjustRightInd w:val="0"/>
              <w:snapToGrid w:val="0"/>
              <w:spacing w:after="200" w:line="220" w:lineRule="atLeast"/>
              <w:rPr>
                <w:rFonts w:hint="eastAsia" w:ascii="宋体" w:hAnsi="宋体" w:eastAsia="宋体" w:cs="宋体"/>
                <w:color w:val="auto"/>
                <w:highlight w:val="none"/>
              </w:rPr>
            </w:pPr>
          </w:p>
        </w:tc>
      </w:tr>
      <w:tr w14:paraId="2B3A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FF149AF">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317C4FBB">
            <w:pPr>
              <w:adjustRightInd w:val="0"/>
              <w:snapToGrid w:val="0"/>
              <w:spacing w:after="200" w:line="590" w:lineRule="atLeast"/>
              <w:rPr>
                <w:rFonts w:hint="eastAsia" w:ascii="宋体" w:hAnsi="宋体" w:eastAsia="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33B4BCC9">
            <w:pPr>
              <w:adjustRightInd w:val="0"/>
              <w:snapToGrid w:val="0"/>
              <w:spacing w:after="200" w:line="220" w:lineRule="atLeast"/>
              <w:rPr>
                <w:rFonts w:hint="eastAsia" w:ascii="宋体" w:hAnsi="宋体" w:eastAsia="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EC9A4D3">
            <w:pPr>
              <w:adjustRightInd w:val="0"/>
              <w:snapToGrid w:val="0"/>
              <w:spacing w:after="200" w:line="220" w:lineRule="atLeast"/>
              <w:rPr>
                <w:rFonts w:hint="eastAsia" w:ascii="宋体" w:hAnsi="宋体" w:eastAsia="宋体" w:cs="宋体"/>
                <w:color w:val="auto"/>
                <w:highlight w:val="none"/>
              </w:rPr>
            </w:pPr>
          </w:p>
        </w:tc>
      </w:tr>
      <w:tr w14:paraId="465F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DD8859">
            <w:pPr>
              <w:adjustRightInd w:val="0"/>
              <w:snapToGrid w:val="0"/>
              <w:spacing w:after="200" w:line="220" w:lineRule="atLeast"/>
              <w:jc w:val="center"/>
              <w:rPr>
                <w:rFonts w:hint="eastAsia" w:ascii="宋体" w:hAnsi="宋体" w:eastAsia="宋体" w:cs="宋体"/>
                <w:bCs/>
                <w:i/>
                <w:color w:val="auto"/>
                <w:szCs w:val="21"/>
                <w:highlight w:val="none"/>
                <w:u w:val="single"/>
              </w:rPr>
            </w:pPr>
            <w:r>
              <w:rPr>
                <w:rFonts w:hint="eastAsia" w:ascii="宋体" w:hAnsi="宋体" w:eastAsia="宋体" w:cs="宋体"/>
                <w:bCs/>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41F7C6EA">
            <w:pPr>
              <w:adjustRightInd w:val="0"/>
              <w:snapToGrid w:val="0"/>
              <w:spacing w:after="200" w:line="590" w:lineRule="atLeast"/>
              <w:jc w:val="center"/>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招标文件中的其他实质性要求</w:t>
            </w:r>
          </w:p>
        </w:tc>
        <w:tc>
          <w:tcPr>
            <w:tcW w:w="945" w:type="pct"/>
            <w:tcBorders>
              <w:top w:val="single" w:color="auto" w:sz="4" w:space="0"/>
              <w:left w:val="single" w:color="auto" w:sz="4" w:space="0"/>
              <w:bottom w:val="single" w:color="auto" w:sz="4" w:space="0"/>
              <w:right w:val="single" w:color="auto" w:sz="4" w:space="0"/>
            </w:tcBorders>
            <w:vAlign w:val="center"/>
          </w:tcPr>
          <w:p w14:paraId="72410670">
            <w:pPr>
              <w:adjustRightInd w:val="0"/>
              <w:snapToGrid w:val="0"/>
              <w:spacing w:after="200" w:line="220" w:lineRule="atLeast"/>
              <w:rPr>
                <w:rFonts w:hint="eastAsia" w:ascii="宋体" w:hAnsi="宋体" w:eastAsia="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756AE6A">
            <w:pPr>
              <w:adjustRightInd w:val="0"/>
              <w:snapToGrid w:val="0"/>
              <w:spacing w:after="200" w:line="220" w:lineRule="atLeast"/>
              <w:rPr>
                <w:rFonts w:hint="eastAsia" w:ascii="宋体" w:hAnsi="宋体" w:eastAsia="宋体" w:cs="宋体"/>
                <w:color w:val="auto"/>
                <w:highlight w:val="none"/>
              </w:rPr>
            </w:pPr>
          </w:p>
        </w:tc>
      </w:tr>
    </w:tbl>
    <w:p w14:paraId="3D11A865">
      <w:pPr>
        <w:spacing w:before="50" w:after="50"/>
        <w:rPr>
          <w:rFonts w:hint="eastAsia" w:ascii="宋体" w:hAnsi="宋体" w:eastAsia="宋体" w:cs="宋体"/>
          <w:color w:val="auto"/>
          <w:szCs w:val="21"/>
          <w:highlight w:val="none"/>
        </w:rPr>
      </w:pPr>
    </w:p>
    <w:p w14:paraId="15C9E453">
      <w:pPr>
        <w:spacing w:before="50" w:after="50"/>
        <w:rPr>
          <w:rFonts w:hint="eastAsia" w:ascii="宋体" w:hAnsi="宋体" w:eastAsia="宋体" w:cs="宋体"/>
          <w:color w:val="auto"/>
          <w:kern w:val="0"/>
          <w:sz w:val="22"/>
          <w:szCs w:val="21"/>
          <w:highlight w:val="none"/>
        </w:rPr>
      </w:pPr>
    </w:p>
    <w:p w14:paraId="0A0D3D15">
      <w:pPr>
        <w:spacing w:before="50" w:after="50"/>
        <w:rPr>
          <w:rFonts w:hint="eastAsia" w:ascii="宋体" w:hAnsi="宋体" w:eastAsia="宋体" w:cs="宋体"/>
          <w:color w:val="auto"/>
          <w:szCs w:val="21"/>
          <w:highlight w:val="none"/>
        </w:rPr>
      </w:pPr>
    </w:p>
    <w:p w14:paraId="0E26A0B3">
      <w:pPr>
        <w:spacing w:before="50" w:after="50"/>
        <w:rPr>
          <w:rFonts w:hint="eastAsia" w:ascii="宋体" w:hAnsi="宋体" w:eastAsia="宋体" w:cs="宋体"/>
          <w:color w:val="auto"/>
          <w:szCs w:val="21"/>
          <w:highlight w:val="none"/>
        </w:rPr>
      </w:pPr>
    </w:p>
    <w:p w14:paraId="1D34E425">
      <w:pPr>
        <w:spacing w:before="50" w:after="50"/>
        <w:rPr>
          <w:rFonts w:hint="eastAsia" w:ascii="宋体" w:hAnsi="宋体" w:eastAsia="宋体" w:cs="宋体"/>
          <w:color w:val="auto"/>
          <w:szCs w:val="21"/>
          <w:highlight w:val="none"/>
        </w:rPr>
      </w:pPr>
    </w:p>
    <w:p w14:paraId="658D4496">
      <w:pPr>
        <w:spacing w:before="50" w:after="50"/>
        <w:rPr>
          <w:rFonts w:hint="eastAsia" w:ascii="宋体" w:hAnsi="宋体" w:eastAsia="宋体" w:cs="宋体"/>
          <w:color w:val="auto"/>
          <w:szCs w:val="21"/>
          <w:highlight w:val="none"/>
        </w:rPr>
      </w:pPr>
    </w:p>
    <w:p w14:paraId="27773F41">
      <w:pPr>
        <w:spacing w:before="50" w:after="50"/>
        <w:rPr>
          <w:rFonts w:hint="eastAsia" w:ascii="宋体" w:hAnsi="宋体" w:eastAsia="宋体" w:cs="宋体"/>
          <w:color w:val="auto"/>
          <w:szCs w:val="21"/>
          <w:highlight w:val="none"/>
        </w:rPr>
      </w:pPr>
    </w:p>
    <w:p w14:paraId="26FC0A20">
      <w:pPr>
        <w:spacing w:before="50" w:after="50"/>
        <w:rPr>
          <w:rFonts w:hint="eastAsia" w:ascii="宋体" w:hAnsi="宋体" w:eastAsia="宋体" w:cs="宋体"/>
          <w:color w:val="auto"/>
          <w:szCs w:val="21"/>
          <w:highlight w:val="none"/>
        </w:rPr>
      </w:pPr>
    </w:p>
    <w:p w14:paraId="31BEB317">
      <w:pPr>
        <w:spacing w:before="50" w:after="50"/>
        <w:rPr>
          <w:rFonts w:hint="eastAsia" w:ascii="宋体" w:hAnsi="宋体" w:eastAsia="宋体" w:cs="宋体"/>
          <w:color w:val="auto"/>
          <w:szCs w:val="21"/>
          <w:highlight w:val="none"/>
        </w:rPr>
      </w:pPr>
    </w:p>
    <w:p w14:paraId="2D2EB5EF">
      <w:pPr>
        <w:spacing w:before="50" w:after="50"/>
        <w:rPr>
          <w:rFonts w:hint="eastAsia" w:ascii="宋体" w:hAnsi="宋体" w:eastAsia="宋体" w:cs="宋体"/>
          <w:color w:val="auto"/>
          <w:szCs w:val="21"/>
          <w:highlight w:val="none"/>
        </w:rPr>
      </w:pPr>
    </w:p>
    <w:p w14:paraId="6B88772E">
      <w:pPr>
        <w:spacing w:afterLines="5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二、资格证明文件要求</w:t>
      </w:r>
    </w:p>
    <w:p w14:paraId="34EB91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满足以下规定，并提供下列材料：</w:t>
      </w:r>
    </w:p>
    <w:p w14:paraId="213D27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1.1 投标函(原件)</w:t>
      </w:r>
      <w:r>
        <w:rPr>
          <w:rFonts w:hint="eastAsia" w:ascii="宋体" w:hAnsi="宋体" w:eastAsia="宋体" w:cs="宋体"/>
          <w:i/>
          <w:iCs/>
          <w:color w:val="auto"/>
          <w:szCs w:val="21"/>
          <w:highlight w:val="none"/>
          <w:u w:val="single"/>
          <w:lang w:eastAsia="zh-CN"/>
        </w:rPr>
        <w:t>；</w:t>
      </w:r>
    </w:p>
    <w:p w14:paraId="5A58C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1.2 资格声明(原件)</w:t>
      </w:r>
      <w:r>
        <w:rPr>
          <w:rFonts w:hint="eastAsia" w:ascii="宋体" w:hAnsi="宋体" w:eastAsia="宋体" w:cs="宋体"/>
          <w:i/>
          <w:iCs/>
          <w:color w:val="auto"/>
          <w:szCs w:val="21"/>
          <w:highlight w:val="none"/>
          <w:u w:val="single"/>
          <w:lang w:eastAsia="zh-CN"/>
        </w:rPr>
        <w:t>；</w:t>
      </w:r>
    </w:p>
    <w:p w14:paraId="0B60BE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1.3</w:t>
      </w:r>
      <w:r>
        <w:rPr>
          <w:rFonts w:hint="eastAsia" w:ascii="宋体" w:hAnsi="宋体" w:eastAsia="宋体" w:cs="宋体"/>
          <w:i/>
          <w:iCs/>
          <w:color w:val="auto"/>
          <w:szCs w:val="21"/>
          <w:highlight w:val="none"/>
          <w:u w:val="single"/>
        </w:rPr>
        <w:t>若法定代表人参加投标的，须提供本人身份证复印件加盖供应商公章</w:t>
      </w:r>
      <w:r>
        <w:rPr>
          <w:rFonts w:hint="eastAsia" w:ascii="宋体" w:hAnsi="宋体" w:eastAsia="宋体" w:cs="宋体"/>
          <w:b w:val="0"/>
          <w:bCs w:val="0"/>
          <w:i/>
          <w:iCs/>
          <w:color w:val="auto"/>
          <w:szCs w:val="21"/>
          <w:highlight w:val="none"/>
          <w:u w:val="single"/>
        </w:rPr>
        <w:t>(原件备查</w:t>
      </w:r>
      <w:r>
        <w:rPr>
          <w:rFonts w:hint="eastAsia" w:ascii="宋体" w:hAnsi="宋体" w:eastAsia="宋体" w:cs="宋体"/>
          <w:b/>
          <w:bCs/>
          <w:i/>
          <w:iCs/>
          <w:color w:val="auto"/>
          <w:szCs w:val="21"/>
          <w:highlight w:val="none"/>
          <w:u w:val="single"/>
        </w:rPr>
        <w:t>)</w:t>
      </w:r>
      <w:r>
        <w:rPr>
          <w:rFonts w:hint="eastAsia" w:ascii="宋体" w:hAnsi="宋体" w:eastAsia="宋体" w:cs="宋体"/>
          <w:i/>
          <w:iCs/>
          <w:color w:val="auto"/>
          <w:szCs w:val="21"/>
          <w:highlight w:val="none"/>
          <w:u w:val="single"/>
        </w:rPr>
        <w:t>；若授权代表参加的，须提供《法人授权书》原件和授权代表身份证复印件加盖供应商公章</w:t>
      </w:r>
      <w:r>
        <w:rPr>
          <w:rFonts w:hint="eastAsia" w:ascii="宋体" w:hAnsi="宋体" w:eastAsia="宋体" w:cs="宋体"/>
          <w:b w:val="0"/>
          <w:bCs w:val="0"/>
          <w:i/>
          <w:iCs/>
          <w:color w:val="auto"/>
          <w:szCs w:val="21"/>
          <w:highlight w:val="none"/>
          <w:u w:val="single"/>
        </w:rPr>
        <w:t>（原件备查）</w:t>
      </w:r>
      <w:r>
        <w:rPr>
          <w:rFonts w:hint="eastAsia" w:ascii="宋体" w:hAnsi="宋体" w:eastAsia="宋体" w:cs="宋体"/>
          <w:i/>
          <w:iCs/>
          <w:color w:val="auto"/>
          <w:szCs w:val="21"/>
          <w:highlight w:val="none"/>
          <w:u w:val="single"/>
          <w:lang w:eastAsia="zh-CN"/>
        </w:rPr>
        <w:t>；</w:t>
      </w:r>
    </w:p>
    <w:p w14:paraId="59F817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1.4 营业执照副本(</w:t>
      </w:r>
      <w:r>
        <w:rPr>
          <w:rFonts w:hint="eastAsia" w:ascii="宋体" w:hAnsi="宋体" w:eastAsia="宋体" w:cs="宋体"/>
          <w:i/>
          <w:iCs/>
          <w:color w:val="auto"/>
          <w:szCs w:val="21"/>
          <w:highlight w:val="none"/>
          <w:u w:val="single"/>
          <w:lang w:eastAsia="zh-CN"/>
        </w:rPr>
        <w:t>复印件加盖供应商公章</w:t>
      </w:r>
      <w:r>
        <w:rPr>
          <w:rFonts w:hint="eastAsia" w:ascii="宋体" w:hAnsi="宋体" w:eastAsia="宋体" w:cs="宋体"/>
          <w:i/>
          <w:iCs/>
          <w:color w:val="auto"/>
          <w:szCs w:val="21"/>
          <w:highlight w:val="none"/>
          <w:u w:val="single"/>
        </w:rPr>
        <w:t>)</w:t>
      </w:r>
      <w:r>
        <w:rPr>
          <w:rFonts w:hint="eastAsia" w:ascii="宋体" w:hAnsi="宋体" w:eastAsia="宋体" w:cs="宋体"/>
          <w:i/>
          <w:iCs/>
          <w:color w:val="auto"/>
          <w:szCs w:val="21"/>
          <w:highlight w:val="none"/>
          <w:u w:val="single"/>
          <w:lang w:eastAsia="zh-CN"/>
        </w:rPr>
        <w:t>；</w:t>
      </w:r>
    </w:p>
    <w:p w14:paraId="14DEF7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1.5依法缴纳职工社会保障资金的证明材料(</w:t>
      </w:r>
      <w:r>
        <w:rPr>
          <w:rFonts w:hint="eastAsia" w:ascii="宋体" w:hAnsi="宋体" w:eastAsia="宋体" w:cs="宋体"/>
          <w:i/>
          <w:iCs/>
          <w:color w:val="auto"/>
          <w:szCs w:val="21"/>
          <w:highlight w:val="none"/>
          <w:u w:val="single"/>
          <w:lang w:eastAsia="zh-CN"/>
        </w:rPr>
        <w:t>复印件加盖供应商公章</w:t>
      </w:r>
      <w:r>
        <w:rPr>
          <w:rFonts w:hint="eastAsia" w:ascii="宋体" w:hAnsi="宋体" w:eastAsia="宋体" w:cs="宋体"/>
          <w:i/>
          <w:iCs/>
          <w:color w:val="auto"/>
          <w:szCs w:val="21"/>
          <w:highlight w:val="none"/>
          <w:u w:val="single"/>
        </w:rPr>
        <w:t>)(税务、银行或社会保险基金管理部门出具的近三个月内任意一月（2025年3月-2025年5月）缴纳职工社会保障资金的缴款凭证或缴款证明)</w:t>
      </w:r>
      <w:r>
        <w:rPr>
          <w:rFonts w:hint="eastAsia" w:ascii="宋体" w:hAnsi="宋体" w:eastAsia="宋体" w:cs="宋体"/>
          <w:i/>
          <w:iCs/>
          <w:color w:val="auto"/>
          <w:szCs w:val="21"/>
          <w:highlight w:val="none"/>
          <w:u w:val="single"/>
          <w:lang w:eastAsia="zh-CN"/>
        </w:rPr>
        <w:t>；</w:t>
      </w:r>
    </w:p>
    <w:p w14:paraId="47881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1.6供应商近三个月内任意一个月（2025年3月-2025年5月）依法纳税的缴款凭证(</w:t>
      </w:r>
      <w:r>
        <w:rPr>
          <w:rFonts w:hint="eastAsia" w:ascii="宋体" w:hAnsi="宋体" w:eastAsia="宋体" w:cs="宋体"/>
          <w:i/>
          <w:iCs/>
          <w:color w:val="auto"/>
          <w:szCs w:val="21"/>
          <w:highlight w:val="none"/>
          <w:u w:val="single"/>
          <w:lang w:eastAsia="zh-CN"/>
        </w:rPr>
        <w:t>复印件加盖供应商公章</w:t>
      </w:r>
      <w:r>
        <w:rPr>
          <w:rFonts w:hint="eastAsia" w:ascii="宋体" w:hAnsi="宋体" w:eastAsia="宋体" w:cs="宋体"/>
          <w:i/>
          <w:iCs/>
          <w:color w:val="auto"/>
          <w:szCs w:val="21"/>
          <w:highlight w:val="none"/>
          <w:u w:val="single"/>
        </w:rPr>
        <w:t>)</w:t>
      </w:r>
      <w:r>
        <w:rPr>
          <w:rFonts w:hint="eastAsia" w:ascii="宋体" w:hAnsi="宋体" w:eastAsia="宋体" w:cs="宋体"/>
          <w:i/>
          <w:iCs/>
          <w:color w:val="auto"/>
          <w:szCs w:val="21"/>
          <w:highlight w:val="none"/>
          <w:u w:val="single"/>
          <w:lang w:eastAsia="zh-CN"/>
        </w:rPr>
        <w:t>；</w:t>
      </w:r>
    </w:p>
    <w:p w14:paraId="066D0D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1.7</w:t>
      </w:r>
      <w:r>
        <w:rPr>
          <w:rFonts w:hint="eastAsia" w:ascii="宋体" w:hAnsi="宋体" w:eastAsia="宋体" w:cs="宋体"/>
          <w:i/>
          <w:iCs/>
          <w:color w:val="auto"/>
          <w:szCs w:val="21"/>
          <w:highlight w:val="none"/>
          <w:u w:val="single"/>
          <w:lang w:eastAsia="zh-CN"/>
        </w:rPr>
        <w:t>上一年度(2023年或2024年)的财务状况报告(成立不满一年无需提供)</w:t>
      </w:r>
      <w:r>
        <w:rPr>
          <w:rFonts w:hint="eastAsia" w:ascii="宋体" w:hAnsi="宋体" w:eastAsia="宋体" w:cs="宋体"/>
          <w:i/>
          <w:iCs/>
          <w:color w:val="auto"/>
          <w:szCs w:val="21"/>
          <w:highlight w:val="none"/>
          <w:u w:val="single"/>
          <w:lang w:eastAsia="zh-CN"/>
        </w:rPr>
        <w:t>(复印件加盖供应商公章)；</w:t>
      </w:r>
    </w:p>
    <w:p w14:paraId="5669FC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1.8 供应商参加本次</w:t>
      </w:r>
      <w:r>
        <w:rPr>
          <w:rFonts w:hint="eastAsia" w:ascii="宋体" w:hAnsi="宋体" w:eastAsia="宋体" w:cs="宋体"/>
          <w:i/>
          <w:iCs/>
          <w:color w:val="auto"/>
          <w:szCs w:val="21"/>
          <w:highlight w:val="none"/>
          <w:u w:val="single"/>
          <w:lang w:eastAsia="zh-CN"/>
        </w:rPr>
        <w:t>采购</w:t>
      </w:r>
      <w:r>
        <w:rPr>
          <w:rFonts w:hint="eastAsia" w:ascii="宋体" w:hAnsi="宋体" w:eastAsia="宋体" w:cs="宋体"/>
          <w:i/>
          <w:iCs/>
          <w:color w:val="auto"/>
          <w:szCs w:val="21"/>
          <w:highlight w:val="none"/>
          <w:u w:val="single"/>
        </w:rPr>
        <w:t>活动前3年内在经营活动中没有重大违法记录的书面声明（原件）</w:t>
      </w:r>
      <w:r>
        <w:rPr>
          <w:rFonts w:hint="eastAsia" w:ascii="宋体" w:hAnsi="宋体" w:eastAsia="宋体" w:cs="宋体"/>
          <w:i/>
          <w:iCs/>
          <w:color w:val="auto"/>
          <w:szCs w:val="21"/>
          <w:highlight w:val="none"/>
          <w:u w:val="single"/>
          <w:lang w:eastAsia="zh-CN"/>
        </w:rPr>
        <w:t>；</w:t>
      </w:r>
    </w:p>
    <w:p w14:paraId="307225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i/>
          <w:iCs/>
          <w:color w:val="auto"/>
          <w:szCs w:val="21"/>
          <w:highlight w:val="none"/>
          <w:u w:val="single"/>
        </w:rPr>
        <w:t>1.9供应商信用承诺书（原件）</w:t>
      </w:r>
      <w:r>
        <w:rPr>
          <w:rFonts w:hint="eastAsia" w:ascii="宋体" w:hAnsi="宋体" w:eastAsia="宋体" w:cs="宋体"/>
          <w:i/>
          <w:iCs/>
          <w:color w:val="auto"/>
          <w:szCs w:val="21"/>
          <w:highlight w:val="none"/>
          <w:u w:val="single"/>
          <w:lang w:eastAsia="zh-CN"/>
        </w:rPr>
        <w:t>；</w:t>
      </w:r>
    </w:p>
    <w:p w14:paraId="3BCC5E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1.10供应商未被“信用中国”网站（www.creditchina.gov.cn）、“中国政府采购网” (www.ccgp.gov.cn)列入失信被执行人、重大税收违法案件当事人名单、政府采购严重违法失信</w:t>
      </w:r>
      <w:r>
        <w:rPr>
          <w:rFonts w:hint="eastAsia" w:ascii="宋体" w:hAnsi="宋体" w:eastAsia="宋体" w:cs="宋体"/>
          <w:b w:val="0"/>
          <w:bCs w:val="0"/>
          <w:i/>
          <w:iCs/>
          <w:color w:val="auto"/>
          <w:szCs w:val="21"/>
          <w:highlight w:val="none"/>
          <w:u w:val="single"/>
        </w:rPr>
        <w:t>行为。</w:t>
      </w:r>
      <w:r>
        <w:rPr>
          <w:rFonts w:hint="eastAsia" w:ascii="宋体" w:hAnsi="宋体" w:eastAsia="宋体" w:cs="宋体"/>
          <w:b w:val="0"/>
          <w:bCs w:val="0"/>
          <w:i/>
          <w:iCs/>
          <w:color w:val="auto"/>
          <w:kern w:val="0"/>
          <w:szCs w:val="21"/>
          <w:highlight w:val="none"/>
          <w:u w:val="single"/>
          <w:lang w:val="en"/>
        </w:rPr>
        <w:t>（提供网页查询截图并加盖供应商公章，查询时间为自公告发布至开标截止时间前任意时间）</w:t>
      </w:r>
    </w:p>
    <w:p w14:paraId="3764E809">
      <w:pPr>
        <w:pStyle w:val="47"/>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4EC823C9">
      <w:pPr>
        <w:pStyle w:val="47"/>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注二：供应商如有相关政策支持，延期缴纳或暂不缴纳职工社会保障资金、税收的，须提供相关证明材料。</w:t>
      </w:r>
    </w:p>
    <w:p w14:paraId="038CAC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eastAsia="宋体" w:cs="宋体"/>
          <w:color w:val="auto"/>
          <w:szCs w:val="21"/>
          <w:highlight w:val="none"/>
        </w:rPr>
        <w:t>2.落实</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政策需满足的资格要求：</w:t>
      </w:r>
      <w:r>
        <w:rPr>
          <w:rFonts w:hint="eastAsia" w:ascii="宋体" w:hAnsi="宋体" w:eastAsia="宋体" w:cs="宋体"/>
          <w:color w:val="auto"/>
          <w:szCs w:val="21"/>
          <w:highlight w:val="none"/>
          <w:lang w:val="en-US" w:eastAsia="zh-CN"/>
        </w:rPr>
        <w:t>/</w:t>
      </w:r>
    </w:p>
    <w:p w14:paraId="6FE43D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eastAsia="zh-CN"/>
        </w:rPr>
        <w:t>：</w:t>
      </w:r>
      <w:r>
        <w:rPr>
          <w:rFonts w:hint="eastAsia" w:ascii="宋体" w:hAnsi="宋体" w:eastAsia="宋体" w:cs="宋体"/>
          <w:i/>
          <w:iCs/>
          <w:color w:val="auto"/>
          <w:szCs w:val="21"/>
          <w:highlight w:val="none"/>
          <w:u w:val="single"/>
        </w:rPr>
        <w:t>供应</w:t>
      </w:r>
      <w:r>
        <w:rPr>
          <w:rFonts w:hint="eastAsia" w:ascii="宋体" w:hAnsi="宋体" w:eastAsia="宋体" w:cs="宋体"/>
          <w:b w:val="0"/>
          <w:bCs w:val="0"/>
          <w:i/>
          <w:iCs/>
          <w:color w:val="auto"/>
          <w:szCs w:val="21"/>
          <w:highlight w:val="none"/>
          <w:u w:val="single"/>
        </w:rPr>
        <w:t>商为本项目授权委托人缴纳的近三个月内任意一个月（</w:t>
      </w:r>
      <w:r>
        <w:rPr>
          <w:rFonts w:hint="eastAsia" w:ascii="宋体" w:hAnsi="宋体" w:eastAsia="宋体" w:cs="宋体"/>
          <w:b w:val="0"/>
          <w:bCs w:val="0"/>
          <w:i/>
          <w:iCs/>
          <w:color w:val="auto"/>
          <w:sz w:val="21"/>
          <w:szCs w:val="21"/>
          <w:highlight w:val="none"/>
          <w:u w:val="single"/>
          <w:lang w:eastAsia="zh-CN"/>
        </w:rPr>
        <w:t>2025年3月-2025年5月</w:t>
      </w:r>
      <w:r>
        <w:rPr>
          <w:rFonts w:hint="eastAsia" w:ascii="宋体" w:hAnsi="宋体" w:eastAsia="宋体" w:cs="宋体"/>
          <w:b w:val="0"/>
          <w:bCs w:val="0"/>
          <w:i/>
          <w:iCs/>
          <w:color w:val="auto"/>
          <w:szCs w:val="21"/>
          <w:highlight w:val="none"/>
          <w:u w:val="single"/>
        </w:rPr>
        <w:t>）的社保证明(复印件加盖供应商公章)</w:t>
      </w:r>
    </w:p>
    <w:p w14:paraId="31EC512E">
      <w:pPr>
        <w:spacing w:line="360" w:lineRule="auto"/>
        <w:ind w:right="312"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备注：投标文件的正本和副本中均须提供上述资信证明文件。资信证明文件须清晰可辨，若有缺失或不清晰，将导致投标被拒绝且不允许在开标后补正。</w:t>
      </w:r>
    </w:p>
    <w:p w14:paraId="307E1509">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投标函格式</w:t>
      </w:r>
    </w:p>
    <w:p w14:paraId="0F60259C">
      <w:pPr>
        <w:pStyle w:val="168"/>
        <w:spacing w:before="0" w:after="0"/>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致：江苏时代投资咨询有限公司</w:t>
      </w:r>
    </w:p>
    <w:p w14:paraId="67AE65E9">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根据贵方的</w:t>
      </w:r>
      <w:r>
        <w:rPr>
          <w:rFonts w:hint="eastAsia" w:ascii="宋体" w:hAnsi="宋体" w:eastAsia="宋体" w:cs="宋体"/>
          <w:color w:val="auto"/>
          <w:kern w:val="2"/>
          <w:sz w:val="21"/>
          <w:szCs w:val="21"/>
          <w:highlight w:val="none"/>
          <w:lang w:eastAsia="zh-CN"/>
        </w:rPr>
        <w:t>JSSDZX-2025125号</w:t>
      </w:r>
      <w:r>
        <w:rPr>
          <w:rFonts w:hint="eastAsia" w:ascii="宋体" w:hAnsi="宋体" w:eastAsia="宋体" w:cs="宋体"/>
          <w:color w:val="auto"/>
          <w:kern w:val="2"/>
          <w:sz w:val="21"/>
          <w:szCs w:val="21"/>
          <w:highlight w:val="none"/>
        </w:rPr>
        <w:t xml:space="preserve"> 招标文件，正式授权下述签字___________(姓名)代表我方______________（投标人的名称），全权处理本次项目投标的有关事宜。</w:t>
      </w:r>
    </w:p>
    <w:p w14:paraId="4AD28993">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据此函，__________签字人兹宣布同意如下：</w:t>
      </w:r>
    </w:p>
    <w:p w14:paraId="36366729">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1.按招标文件规定的各项要求，向买方提供所需货物与服务。</w:t>
      </w:r>
    </w:p>
    <w:p w14:paraId="46AA7C03">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2.我们完全理解贵方不一定将合同授予最低报价的投标人。</w:t>
      </w:r>
    </w:p>
    <w:p w14:paraId="2EECA241">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3.我们已详细审核全部招标文件及其有效补充文件，我们知道必须放弃提出含糊不清或误解问题的权利。</w:t>
      </w:r>
    </w:p>
    <w:p w14:paraId="24DB231F">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4.我们同意从规定的开标日期起遵循本投标文件，并在规定的投标有效期期满之前均具有约束力。</w:t>
      </w:r>
    </w:p>
    <w:p w14:paraId="6B40C696">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5.同意向贵方提供贵方可能另外要求的与投标有关的任何证据或资料，并保证我方已提供和将要提供的文件是真实的、准确的。</w:t>
      </w:r>
    </w:p>
    <w:p w14:paraId="2B4B655A">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6.一旦我方中标,我方将根据招标文件的规定，严格履行合同的责任和义务,并保证在招标文件规定的时间完成项目，交付买方验收、使用。</w:t>
      </w:r>
    </w:p>
    <w:p w14:paraId="3EAD3038">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7.与本投标有关的正式通讯地址为：</w:t>
      </w:r>
    </w:p>
    <w:p w14:paraId="554BD40D">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p>
    <w:p w14:paraId="47993199">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 编：</w:t>
      </w:r>
    </w:p>
    <w:p w14:paraId="4AEE5B85">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电 话： </w:t>
      </w:r>
    </w:p>
    <w:p w14:paraId="0D8B9A0D">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传 真： </w:t>
      </w:r>
    </w:p>
    <w:p w14:paraId="2B95E0F9">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投标人开户行：</w:t>
      </w:r>
    </w:p>
    <w:p w14:paraId="0CF77F4E">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账 户： </w:t>
      </w:r>
    </w:p>
    <w:p w14:paraId="396D47DF">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行 号：</w:t>
      </w:r>
    </w:p>
    <w:p w14:paraId="1491E133">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法定代表人或授权代表（签字）： </w:t>
      </w:r>
    </w:p>
    <w:p w14:paraId="7012E58C">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投标人名称（公章）： </w:t>
      </w:r>
    </w:p>
    <w:p w14:paraId="0C4EAB11">
      <w:pPr>
        <w:pStyle w:val="168"/>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 期：________年____月____日</w:t>
      </w:r>
    </w:p>
    <w:p w14:paraId="4D003F20">
      <w:pPr>
        <w:spacing w:line="360" w:lineRule="auto"/>
        <w:ind w:firstLine="422" w:firstLineChars="200"/>
        <w:jc w:val="center"/>
        <w:rPr>
          <w:rFonts w:hint="eastAsia" w:ascii="宋体" w:hAnsi="宋体" w:eastAsia="宋体" w:cs="宋体"/>
          <w:b/>
          <w:bCs/>
          <w:color w:val="auto"/>
          <w:szCs w:val="21"/>
          <w:highlight w:val="none"/>
        </w:rPr>
      </w:pPr>
    </w:p>
    <w:p w14:paraId="3F9EAD4F">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资 格 声 明</w:t>
      </w:r>
    </w:p>
    <w:p w14:paraId="0F558C62">
      <w:pPr>
        <w:spacing w:line="360" w:lineRule="auto"/>
        <w:ind w:firstLine="420" w:firstLineChars="200"/>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1、名称及其它情况：</w:t>
      </w:r>
    </w:p>
    <w:p w14:paraId="3D8A2F03">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（1）投标人名称：</w:t>
      </w:r>
    </w:p>
    <w:p w14:paraId="101B9481">
      <w:pPr>
        <w:tabs>
          <w:tab w:val="left" w:pos="4530"/>
        </w:tabs>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（2）地址：</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邮编：</w:t>
      </w:r>
    </w:p>
    <w:p w14:paraId="69D54218">
      <w:pPr>
        <w:tabs>
          <w:tab w:val="left" w:pos="600"/>
          <w:tab w:val="left" w:pos="43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传真：</w:t>
      </w:r>
    </w:p>
    <w:p w14:paraId="6F4C3168">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（3）成立和/或注册日期：</w:t>
      </w:r>
    </w:p>
    <w:p w14:paraId="0AE42A37">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w:t>
      </w:r>
    </w:p>
    <w:p w14:paraId="0888DEC9">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（5）实收资本：</w:t>
      </w:r>
    </w:p>
    <w:p w14:paraId="161E8C48">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（6）近期资产负债表：（到</w:t>
      </w:r>
      <w:r>
        <w:rPr>
          <w:rFonts w:hint="eastAsia" w:ascii="宋体" w:hAnsi="宋体" w:eastAsia="宋体" w:cs="宋体"/>
          <w:color w:val="auto"/>
          <w:szCs w:val="21"/>
          <w:highlight w:val="none"/>
          <w:u w:val="single"/>
        </w:rPr>
        <w:t>20  年12月31日</w:t>
      </w:r>
      <w:r>
        <w:rPr>
          <w:rFonts w:hint="eastAsia" w:ascii="宋体" w:hAnsi="宋体" w:eastAsia="宋体" w:cs="宋体"/>
          <w:color w:val="auto"/>
          <w:szCs w:val="21"/>
          <w:highlight w:val="none"/>
        </w:rPr>
        <w:t>）</w:t>
      </w:r>
    </w:p>
    <w:p w14:paraId="5478E8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&lt;1&gt; 固定资产：</w:t>
      </w:r>
    </w:p>
    <w:p w14:paraId="2B1BAF6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&lt;2&gt; 流动资金：</w:t>
      </w:r>
    </w:p>
    <w:p w14:paraId="4BF797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&lt;3&gt; 长期负债：</w:t>
      </w:r>
    </w:p>
    <w:p w14:paraId="58F7E1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&lt;4&gt; 短期负债：</w:t>
      </w:r>
    </w:p>
    <w:p w14:paraId="2EC504F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2、近三年同类投标货物和服务的主要销售业绩（无有效联系人、联系方式和合同复印件的视为未填报本项目）：</w:t>
      </w:r>
    </w:p>
    <w:tbl>
      <w:tblPr>
        <w:tblStyle w:val="34"/>
        <w:tblpPr w:leftFromText="180" w:rightFromText="180" w:vertAnchor="text" w:horzAnchor="page" w:tblpXSpec="center" w:tblpY="478"/>
        <w:tblOverlap w:val="never"/>
        <w:tblW w:w="4999" w:type="pct"/>
        <w:jc w:val="center"/>
        <w:tblLayout w:type="autofit"/>
        <w:tblCellMar>
          <w:top w:w="0" w:type="dxa"/>
          <w:left w:w="108" w:type="dxa"/>
          <w:bottom w:w="0" w:type="dxa"/>
          <w:right w:w="108" w:type="dxa"/>
        </w:tblCellMar>
      </w:tblPr>
      <w:tblGrid>
        <w:gridCol w:w="4937"/>
        <w:gridCol w:w="4915"/>
      </w:tblGrid>
      <w:tr w14:paraId="2A643EF9">
        <w:tblPrEx>
          <w:tblCellMar>
            <w:top w:w="0" w:type="dxa"/>
            <w:left w:w="108" w:type="dxa"/>
            <w:bottom w:w="0" w:type="dxa"/>
            <w:right w:w="108" w:type="dxa"/>
          </w:tblCellMar>
        </w:tblPrEx>
        <w:trPr>
          <w:jc w:val="center"/>
        </w:trPr>
        <w:tc>
          <w:tcPr>
            <w:tcW w:w="2505" w:type="pct"/>
          </w:tcPr>
          <w:p w14:paraId="3BCF63E7">
            <w:pPr>
              <w:adjustRightInd w:val="0"/>
              <w:snapToGrid w:val="0"/>
              <w:spacing w:after="200" w:line="360" w:lineRule="auto"/>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甲方名称、联系人、联系方式</w:t>
            </w:r>
          </w:p>
        </w:tc>
        <w:tc>
          <w:tcPr>
            <w:tcW w:w="2494" w:type="pct"/>
          </w:tcPr>
          <w:p w14:paraId="6005E670">
            <w:pPr>
              <w:adjustRightInd w:val="0"/>
              <w:snapToGrid w:val="0"/>
              <w:spacing w:after="200" w:line="360" w:lineRule="auto"/>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项   目   名   称</w:t>
            </w:r>
          </w:p>
        </w:tc>
      </w:tr>
      <w:tr w14:paraId="44B8A518">
        <w:tblPrEx>
          <w:tblCellMar>
            <w:top w:w="0" w:type="dxa"/>
            <w:left w:w="108" w:type="dxa"/>
            <w:bottom w:w="0" w:type="dxa"/>
            <w:right w:w="108" w:type="dxa"/>
          </w:tblCellMar>
        </w:tblPrEx>
        <w:trPr>
          <w:jc w:val="center"/>
        </w:trPr>
        <w:tc>
          <w:tcPr>
            <w:tcW w:w="2505" w:type="pct"/>
          </w:tcPr>
          <w:p w14:paraId="1DE77BBC">
            <w:pPr>
              <w:adjustRightInd w:val="0"/>
              <w:snapToGrid w:val="0"/>
              <w:spacing w:after="200" w:line="360" w:lineRule="auto"/>
              <w:rPr>
                <w:rFonts w:hint="eastAsia" w:ascii="宋体" w:hAnsi="宋体" w:eastAsia="宋体" w:cs="宋体"/>
                <w:color w:val="auto"/>
                <w:highlight w:val="none"/>
              </w:rPr>
            </w:pPr>
          </w:p>
        </w:tc>
        <w:tc>
          <w:tcPr>
            <w:tcW w:w="2494" w:type="pct"/>
          </w:tcPr>
          <w:p w14:paraId="70374C6A">
            <w:pPr>
              <w:adjustRightInd w:val="0"/>
              <w:snapToGrid w:val="0"/>
              <w:spacing w:after="200" w:line="360" w:lineRule="auto"/>
              <w:rPr>
                <w:rFonts w:hint="eastAsia" w:ascii="宋体" w:hAnsi="宋体" w:eastAsia="宋体" w:cs="宋体"/>
                <w:color w:val="auto"/>
                <w:highlight w:val="none"/>
              </w:rPr>
            </w:pPr>
          </w:p>
        </w:tc>
      </w:tr>
      <w:tr w14:paraId="2BC2D09F">
        <w:tblPrEx>
          <w:tblCellMar>
            <w:top w:w="0" w:type="dxa"/>
            <w:left w:w="108" w:type="dxa"/>
            <w:bottom w:w="0" w:type="dxa"/>
            <w:right w:w="108" w:type="dxa"/>
          </w:tblCellMar>
        </w:tblPrEx>
        <w:trPr>
          <w:jc w:val="center"/>
        </w:trPr>
        <w:tc>
          <w:tcPr>
            <w:tcW w:w="2505" w:type="pct"/>
          </w:tcPr>
          <w:p w14:paraId="4CCC95C4">
            <w:pPr>
              <w:adjustRightInd w:val="0"/>
              <w:snapToGrid w:val="0"/>
              <w:spacing w:after="200" w:line="360" w:lineRule="auto"/>
              <w:rPr>
                <w:rFonts w:hint="eastAsia" w:ascii="宋体" w:hAnsi="宋体" w:eastAsia="宋体" w:cs="宋体"/>
                <w:color w:val="auto"/>
                <w:highlight w:val="none"/>
              </w:rPr>
            </w:pPr>
          </w:p>
        </w:tc>
        <w:tc>
          <w:tcPr>
            <w:tcW w:w="2494" w:type="pct"/>
          </w:tcPr>
          <w:p w14:paraId="1DC63845">
            <w:pPr>
              <w:adjustRightInd w:val="0"/>
              <w:snapToGrid w:val="0"/>
              <w:spacing w:after="200" w:line="360" w:lineRule="auto"/>
              <w:rPr>
                <w:rFonts w:hint="eastAsia" w:ascii="宋体" w:hAnsi="宋体" w:eastAsia="宋体" w:cs="宋体"/>
                <w:color w:val="auto"/>
                <w:highlight w:val="none"/>
              </w:rPr>
            </w:pPr>
          </w:p>
        </w:tc>
      </w:tr>
    </w:tbl>
    <w:p w14:paraId="1E3148DC">
      <w:pPr>
        <w:spacing w:line="360" w:lineRule="auto"/>
        <w:rPr>
          <w:rFonts w:hint="eastAsia" w:ascii="宋体" w:hAnsi="宋体" w:eastAsia="宋体" w:cs="宋体"/>
          <w:color w:val="auto"/>
          <w:highlight w:val="none"/>
        </w:rPr>
      </w:pPr>
    </w:p>
    <w:p w14:paraId="2D1A5912">
      <w:pPr>
        <w:spacing w:line="360" w:lineRule="auto"/>
        <w:ind w:left="105" w:leftChars="50" w:firstLine="315" w:firstLineChars="150"/>
        <w:rPr>
          <w:rFonts w:hint="eastAsia" w:ascii="宋体" w:hAnsi="宋体" w:eastAsia="宋体" w:cs="宋体"/>
          <w:color w:val="auto"/>
          <w:kern w:val="0"/>
          <w:sz w:val="22"/>
          <w:highlight w:val="none"/>
        </w:rPr>
      </w:pPr>
      <w:r>
        <w:rPr>
          <w:rFonts w:hint="eastAsia" w:ascii="宋体" w:hAnsi="宋体" w:eastAsia="宋体" w:cs="宋体"/>
          <w:color w:val="auto"/>
          <w:highlight w:val="none"/>
        </w:rPr>
        <w:t>3、本次招标要求的其他资格文件以及投标人认为需要声明的其他情况：</w:t>
      </w:r>
    </w:p>
    <w:p w14:paraId="2A830A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14:paraId="5D71B92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投标人公章：</w:t>
      </w:r>
    </w:p>
    <w:p w14:paraId="7DB9601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w:t>
      </w:r>
    </w:p>
    <w:p w14:paraId="2427974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日期：年月日        </w:t>
      </w:r>
    </w:p>
    <w:p w14:paraId="4B89615C">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（注：资格声明为格式文件,请勿修改，否则将导致投标文件无效。）</w:t>
      </w:r>
    </w:p>
    <w:p w14:paraId="1032B706">
      <w:pPr>
        <w:spacing w:line="460" w:lineRule="exact"/>
        <w:rPr>
          <w:rFonts w:hint="eastAsia" w:ascii="宋体" w:hAnsi="宋体" w:eastAsia="宋体" w:cs="宋体"/>
          <w:bCs/>
          <w:color w:val="auto"/>
          <w:sz w:val="24"/>
          <w:highlight w:val="none"/>
        </w:rPr>
      </w:pPr>
    </w:p>
    <w:p w14:paraId="685C4600">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5F45D97">
      <w:pPr>
        <w:pStyle w:val="152"/>
        <w:spacing w:afterLines="100"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法人授权书</w:t>
      </w:r>
    </w:p>
    <w:p w14:paraId="23208132">
      <w:pPr>
        <w:pStyle w:val="15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本授权书声明：________________（投标人名称）授权________________（被授权人的姓名）为我方就</w:t>
      </w:r>
      <w:r>
        <w:rPr>
          <w:rFonts w:hint="eastAsia" w:ascii="宋体" w:hAnsi="宋体" w:eastAsia="宋体" w:cs="宋体"/>
          <w:color w:val="auto"/>
          <w:sz w:val="21"/>
          <w:szCs w:val="21"/>
          <w:highlight w:val="none"/>
          <w:u w:val="single"/>
          <w:lang w:eastAsia="zh-CN"/>
        </w:rPr>
        <w:t>JSSDZX-2025125号GZ627地块房地产开发项目策划服务（第一期）</w:t>
      </w:r>
      <w:r>
        <w:rPr>
          <w:rFonts w:hint="eastAsia" w:ascii="宋体" w:hAnsi="宋体" w:eastAsia="宋体" w:cs="宋体"/>
          <w:color w:val="auto"/>
          <w:sz w:val="21"/>
          <w:szCs w:val="21"/>
          <w:highlight w:val="none"/>
        </w:rPr>
        <w:t>采购活动的合法代理人，以本公司名义全权处理一切与该项目采购有关的事务。</w:t>
      </w:r>
    </w:p>
    <w:p w14:paraId="11E63E5D">
      <w:pPr>
        <w:pStyle w:val="15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14:paraId="170D95BD">
      <w:pPr>
        <w:pStyle w:val="152"/>
        <w:spacing w:line="360" w:lineRule="auto"/>
        <w:ind w:firstLine="0" w:firstLineChars="0"/>
        <w:rPr>
          <w:rFonts w:hint="eastAsia" w:ascii="宋体" w:hAnsi="宋体" w:eastAsia="宋体" w:cs="宋体"/>
          <w:color w:val="auto"/>
          <w:sz w:val="21"/>
          <w:szCs w:val="21"/>
          <w:highlight w:val="none"/>
        </w:rPr>
      </w:pPr>
    </w:p>
    <w:p w14:paraId="68896E3D">
      <w:pPr>
        <w:pStyle w:val="15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14:paraId="374E1CD1">
      <w:pPr>
        <w:pStyle w:val="152"/>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联系电话（手机）：</w:t>
      </w:r>
    </w:p>
    <w:p w14:paraId="19AD9C80">
      <w:pPr>
        <w:pStyle w:val="152"/>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单位名称：_____________________________________</w:t>
      </w:r>
    </w:p>
    <w:p w14:paraId="702DB70A">
      <w:pPr>
        <w:pStyle w:val="152"/>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授权单位盖章：_________________________________</w:t>
      </w:r>
    </w:p>
    <w:p w14:paraId="47D6CEE3">
      <w:pPr>
        <w:pStyle w:val="152"/>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p>
    <w:p w14:paraId="787476E5">
      <w:pPr>
        <w:pStyle w:val="15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E013959">
      <w:pPr>
        <w:spacing w:line="460" w:lineRule="exact"/>
        <w:rPr>
          <w:rFonts w:hint="eastAsia" w:ascii="宋体" w:hAnsi="宋体" w:eastAsia="宋体" w:cs="宋体"/>
          <w:bCs/>
          <w:color w:val="auto"/>
          <w:szCs w:val="21"/>
          <w:highlight w:val="none"/>
        </w:rPr>
      </w:pPr>
    </w:p>
    <w:p w14:paraId="5BB36297">
      <w:pPr>
        <w:spacing w:line="460" w:lineRule="exact"/>
        <w:rPr>
          <w:rFonts w:hint="eastAsia" w:ascii="宋体" w:hAnsi="宋体" w:eastAsia="宋体" w:cs="宋体"/>
          <w:bCs/>
          <w:color w:val="auto"/>
          <w:sz w:val="24"/>
          <w:highlight w:val="none"/>
        </w:rPr>
      </w:pPr>
    </w:p>
    <w:p w14:paraId="63CC9D0C">
      <w:pPr>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被授权人身份证复印件：</w:t>
      </w:r>
    </w:p>
    <w:p w14:paraId="2ECC4F54">
      <w:pPr>
        <w:spacing w:line="460" w:lineRule="exact"/>
        <w:rPr>
          <w:rFonts w:hint="eastAsia" w:ascii="宋体" w:hAnsi="宋体" w:eastAsia="宋体" w:cs="宋体"/>
          <w:bCs/>
          <w:color w:val="auto"/>
          <w:sz w:val="24"/>
          <w:highlight w:val="none"/>
        </w:rPr>
      </w:pPr>
    </w:p>
    <w:p w14:paraId="2F29B37D">
      <w:pPr>
        <w:spacing w:line="460" w:lineRule="exact"/>
        <w:rPr>
          <w:rFonts w:hint="eastAsia" w:ascii="宋体" w:hAnsi="宋体" w:eastAsia="宋体" w:cs="宋体"/>
          <w:bCs/>
          <w:color w:val="auto"/>
          <w:sz w:val="24"/>
          <w:highlight w:val="none"/>
        </w:rPr>
      </w:pPr>
    </w:p>
    <w:p w14:paraId="623A5792">
      <w:pPr>
        <w:spacing w:line="460" w:lineRule="exact"/>
        <w:rPr>
          <w:rFonts w:hint="eastAsia" w:ascii="宋体" w:hAnsi="宋体" w:eastAsia="宋体" w:cs="宋体"/>
          <w:bCs/>
          <w:color w:val="auto"/>
          <w:sz w:val="24"/>
          <w:highlight w:val="none"/>
        </w:rPr>
      </w:pPr>
    </w:p>
    <w:p w14:paraId="1A72CE16">
      <w:pPr>
        <w:spacing w:line="460" w:lineRule="exact"/>
        <w:rPr>
          <w:rFonts w:hint="eastAsia" w:ascii="宋体" w:hAnsi="宋体" w:eastAsia="宋体" w:cs="宋体"/>
          <w:bCs/>
          <w:color w:val="auto"/>
          <w:sz w:val="24"/>
          <w:highlight w:val="none"/>
        </w:rPr>
      </w:pPr>
    </w:p>
    <w:p w14:paraId="49DF43AC">
      <w:pPr>
        <w:spacing w:line="460" w:lineRule="exact"/>
        <w:rPr>
          <w:rFonts w:hint="eastAsia" w:ascii="宋体" w:hAnsi="宋体" w:eastAsia="宋体" w:cs="宋体"/>
          <w:bCs/>
          <w:color w:val="auto"/>
          <w:sz w:val="24"/>
          <w:highlight w:val="none"/>
        </w:rPr>
      </w:pPr>
    </w:p>
    <w:p w14:paraId="121E51F2">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6B32BC7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参加本次采购活动前 3 年内在经营活动中没有重大违法记录的书面声明</w:t>
      </w:r>
    </w:p>
    <w:p w14:paraId="1B9DB85A">
      <w:pPr>
        <w:spacing w:line="360" w:lineRule="auto"/>
        <w:rPr>
          <w:rFonts w:hint="eastAsia" w:ascii="宋体" w:hAnsi="宋体" w:eastAsia="宋体" w:cs="宋体"/>
          <w:color w:val="auto"/>
          <w:szCs w:val="21"/>
          <w:highlight w:val="none"/>
        </w:rPr>
      </w:pPr>
    </w:p>
    <w:p w14:paraId="6C775AE4">
      <w:pPr>
        <w:spacing w:afterLines="100"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声  明</w:t>
      </w:r>
    </w:p>
    <w:p w14:paraId="153ADE6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6BE0EFD3">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供应商名称（公章）：</w:t>
      </w:r>
    </w:p>
    <w:p w14:paraId="7EC9C13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法定代表人或授权代表签字：_______________________</w:t>
      </w:r>
    </w:p>
    <w:p w14:paraId="6460305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日期：______年______月______日</w:t>
      </w:r>
    </w:p>
    <w:p w14:paraId="4E0665E3">
      <w:pPr>
        <w:spacing w:line="460" w:lineRule="exact"/>
        <w:rPr>
          <w:rFonts w:hint="eastAsia" w:ascii="宋体" w:hAnsi="宋体" w:eastAsia="宋体" w:cs="宋体"/>
          <w:bCs/>
          <w:color w:val="auto"/>
          <w:sz w:val="24"/>
          <w:highlight w:val="none"/>
        </w:rPr>
      </w:pPr>
    </w:p>
    <w:p w14:paraId="695C2B55">
      <w:pPr>
        <w:spacing w:line="460" w:lineRule="exact"/>
        <w:rPr>
          <w:rFonts w:hint="eastAsia" w:ascii="宋体" w:hAnsi="宋体" w:eastAsia="宋体" w:cs="宋体"/>
          <w:bCs/>
          <w:color w:val="auto"/>
          <w:sz w:val="24"/>
          <w:highlight w:val="none"/>
        </w:rPr>
      </w:pPr>
    </w:p>
    <w:p w14:paraId="4C33FE55">
      <w:pPr>
        <w:spacing w:line="460" w:lineRule="exact"/>
        <w:rPr>
          <w:rFonts w:hint="eastAsia" w:ascii="宋体" w:hAnsi="宋体" w:eastAsia="宋体" w:cs="宋体"/>
          <w:bCs/>
          <w:color w:val="auto"/>
          <w:sz w:val="24"/>
          <w:highlight w:val="none"/>
        </w:rPr>
      </w:pPr>
    </w:p>
    <w:p w14:paraId="266AC8A0">
      <w:pPr>
        <w:spacing w:line="460" w:lineRule="exact"/>
        <w:rPr>
          <w:rFonts w:hint="eastAsia" w:ascii="宋体" w:hAnsi="宋体" w:eastAsia="宋体" w:cs="宋体"/>
          <w:bCs/>
          <w:color w:val="auto"/>
          <w:sz w:val="24"/>
          <w:highlight w:val="none"/>
        </w:rPr>
      </w:pPr>
    </w:p>
    <w:p w14:paraId="5931812C">
      <w:pPr>
        <w:spacing w:line="460" w:lineRule="exact"/>
        <w:rPr>
          <w:rFonts w:hint="eastAsia" w:ascii="宋体" w:hAnsi="宋体" w:eastAsia="宋体" w:cs="宋体"/>
          <w:bCs/>
          <w:color w:val="auto"/>
          <w:sz w:val="24"/>
          <w:highlight w:val="none"/>
        </w:rPr>
      </w:pPr>
    </w:p>
    <w:p w14:paraId="42ECE1D6">
      <w:pPr>
        <w:spacing w:line="460" w:lineRule="exact"/>
        <w:rPr>
          <w:rFonts w:hint="eastAsia" w:ascii="宋体" w:hAnsi="宋体" w:eastAsia="宋体" w:cs="宋体"/>
          <w:bCs/>
          <w:color w:val="auto"/>
          <w:sz w:val="24"/>
          <w:highlight w:val="none"/>
        </w:rPr>
      </w:pPr>
    </w:p>
    <w:p w14:paraId="4C3BDE62">
      <w:pPr>
        <w:pStyle w:val="17"/>
        <w:numPr>
          <w:ilvl w:val="0"/>
          <w:numId w:val="0"/>
        </w:numPr>
        <w:rPr>
          <w:rFonts w:hint="eastAsia" w:ascii="宋体" w:hAnsi="宋体" w:eastAsia="宋体" w:cs="宋体"/>
          <w:bCs/>
          <w:color w:val="auto"/>
          <w:sz w:val="24"/>
          <w:highlight w:val="none"/>
        </w:rPr>
      </w:pPr>
    </w:p>
    <w:p w14:paraId="0C656732">
      <w:pPr>
        <w:pStyle w:val="17"/>
        <w:numPr>
          <w:ilvl w:val="0"/>
          <w:numId w:val="0"/>
        </w:numPr>
        <w:rPr>
          <w:rFonts w:hint="eastAsia" w:ascii="宋体" w:hAnsi="宋体" w:eastAsia="宋体" w:cs="宋体"/>
          <w:bCs/>
          <w:color w:val="auto"/>
          <w:sz w:val="24"/>
          <w:highlight w:val="none"/>
        </w:rPr>
      </w:pPr>
    </w:p>
    <w:p w14:paraId="707AF246">
      <w:pPr>
        <w:pStyle w:val="17"/>
        <w:numPr>
          <w:ilvl w:val="0"/>
          <w:numId w:val="0"/>
        </w:numPr>
        <w:rPr>
          <w:rFonts w:hint="eastAsia" w:ascii="宋体" w:hAnsi="宋体" w:eastAsia="宋体" w:cs="宋体"/>
          <w:bCs/>
          <w:color w:val="auto"/>
          <w:sz w:val="24"/>
          <w:highlight w:val="none"/>
        </w:rPr>
      </w:pPr>
    </w:p>
    <w:p w14:paraId="5C122058">
      <w:pPr>
        <w:pStyle w:val="17"/>
        <w:numPr>
          <w:ilvl w:val="0"/>
          <w:numId w:val="0"/>
        </w:numPr>
        <w:rPr>
          <w:rFonts w:hint="eastAsia" w:ascii="宋体" w:hAnsi="宋体" w:eastAsia="宋体" w:cs="宋体"/>
          <w:bCs/>
          <w:color w:val="auto"/>
          <w:sz w:val="24"/>
          <w:highlight w:val="none"/>
        </w:rPr>
      </w:pPr>
    </w:p>
    <w:p w14:paraId="678FA9ED">
      <w:pPr>
        <w:spacing w:line="460" w:lineRule="exact"/>
        <w:rPr>
          <w:rFonts w:hint="eastAsia" w:ascii="宋体" w:hAnsi="宋体" w:eastAsia="宋体" w:cs="宋体"/>
          <w:bCs/>
          <w:color w:val="auto"/>
          <w:sz w:val="24"/>
          <w:highlight w:val="none"/>
        </w:rPr>
      </w:pPr>
    </w:p>
    <w:p w14:paraId="7801BC2F">
      <w:pPr>
        <w:pStyle w:val="17"/>
        <w:numPr>
          <w:ilvl w:val="0"/>
          <w:numId w:val="0"/>
        </w:numPr>
        <w:rPr>
          <w:rFonts w:hint="eastAsia" w:ascii="宋体" w:hAnsi="宋体" w:eastAsia="宋体" w:cs="宋体"/>
          <w:bCs/>
          <w:color w:val="auto"/>
          <w:sz w:val="24"/>
          <w:highlight w:val="none"/>
        </w:rPr>
      </w:pPr>
    </w:p>
    <w:p w14:paraId="427D210B">
      <w:pPr>
        <w:pStyle w:val="17"/>
        <w:numPr>
          <w:ilvl w:val="0"/>
          <w:numId w:val="0"/>
        </w:numPr>
        <w:rPr>
          <w:rFonts w:hint="eastAsia" w:ascii="宋体" w:hAnsi="宋体" w:eastAsia="宋体" w:cs="宋体"/>
          <w:bCs/>
          <w:color w:val="auto"/>
          <w:sz w:val="24"/>
          <w:highlight w:val="none"/>
        </w:rPr>
      </w:pPr>
    </w:p>
    <w:p w14:paraId="2F74A917">
      <w:pPr>
        <w:pStyle w:val="17"/>
        <w:numPr>
          <w:ilvl w:val="0"/>
          <w:numId w:val="0"/>
        </w:numPr>
        <w:rPr>
          <w:rFonts w:hint="eastAsia" w:ascii="宋体" w:hAnsi="宋体" w:eastAsia="宋体" w:cs="宋体"/>
          <w:bCs/>
          <w:color w:val="auto"/>
          <w:sz w:val="24"/>
          <w:highlight w:val="none"/>
        </w:rPr>
      </w:pPr>
    </w:p>
    <w:p w14:paraId="6E8667B6">
      <w:pPr>
        <w:spacing w:line="460" w:lineRule="exact"/>
        <w:rPr>
          <w:rFonts w:hint="eastAsia" w:ascii="宋体" w:hAnsi="宋体" w:eastAsia="宋体" w:cs="宋体"/>
          <w:bCs/>
          <w:color w:val="auto"/>
          <w:sz w:val="24"/>
          <w:highlight w:val="none"/>
        </w:rPr>
      </w:pPr>
    </w:p>
    <w:p w14:paraId="009D4148">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1A981E8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供应商信用承诺书</w:t>
      </w:r>
    </w:p>
    <w:p w14:paraId="42742B77">
      <w:pPr>
        <w:spacing w:line="56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承诺主体名称：</w:t>
      </w:r>
    </w:p>
    <w:p w14:paraId="48D70F6D">
      <w:pPr>
        <w:spacing w:line="56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统一社会信用代码：</w:t>
      </w:r>
    </w:p>
    <w:p w14:paraId="1025983A">
      <w:pPr>
        <w:spacing w:line="560" w:lineRule="exact"/>
        <w:rPr>
          <w:rFonts w:hint="eastAsia" w:ascii="宋体" w:hAnsi="宋体" w:eastAsia="宋体" w:cs="宋体"/>
          <w:color w:val="auto"/>
          <w:szCs w:val="32"/>
          <w:highlight w:val="none"/>
        </w:rPr>
      </w:pPr>
    </w:p>
    <w:p w14:paraId="3C79A89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为维护公平竞争、规范有序的市场秩序，营造诚实守信的信用环境，共同推进社会信用体系建设完善，树立企业诚信守法形象，本企业对________________________项目采购活动郑重承诺如下:</w:t>
      </w:r>
    </w:p>
    <w:p w14:paraId="1AFC307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一、对提供给注册登记部门、行业管理部门、司法部门、行业组织以及在采购活动中提交的所有资料的合法性、真实性、准确性和有效性负责；</w:t>
      </w:r>
    </w:p>
    <w:p w14:paraId="44EEFD7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二、严格按照国家法律、法规和规章开展采购活动，全面履行应尽的责任和义务，全面做到履约守信，具备《中华人民共和国政府采购法》第二十二条第一款规定的条件;</w:t>
      </w:r>
    </w:p>
    <w:p w14:paraId="6A7D668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三、严格依法开展生产经营活动，主动接受行业监管，自愿接受依法开展的日常检查；违法失信经营后将自愿接受约束和惩戒，并依法承担相应责任；</w:t>
      </w:r>
    </w:p>
    <w:p w14:paraId="23C2015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四、自觉接受行政管理部门、行业组织、社会公众、新闻舆论的监督；</w:t>
      </w:r>
    </w:p>
    <w:p w14:paraId="7252241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五、自觉做到自我约束、自我管理，不制假售假、商标侵权、虚假宣传、违约毁约、恶意逃债、偷税漏税、垄断和不正当竞争，维护经营者、消费者的合法权益；</w:t>
      </w:r>
    </w:p>
    <w:p w14:paraId="40C6A74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六、提出政府采购质疑和投诉坚持依法依规、诚实信用原则，在全国范围12个月内没有三次以上查无实据的政府采购投诉；</w:t>
      </w:r>
    </w:p>
    <w:p w14:paraId="3CF0A1B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七、严格遵守信用信息公示相关规定，向社会公示信用信息；</w:t>
      </w:r>
    </w:p>
    <w:p w14:paraId="4EBFCD1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八、在“信用中国”和“中国政府采购网”网站中无违法违规、较重或严重失信记录；</w:t>
      </w:r>
    </w:p>
    <w:p w14:paraId="4DFBDDE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532114D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十、本承诺书自签订之日起生效。</w:t>
      </w:r>
    </w:p>
    <w:p w14:paraId="6444A50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（注：法定代表人或负责人、主体名称发生变更的应当重新做出承诺。）</w:t>
      </w:r>
    </w:p>
    <w:p w14:paraId="65C47C33">
      <w:pPr>
        <w:spacing w:line="56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承诺单位（签章）：   </w:t>
      </w:r>
    </w:p>
    <w:p w14:paraId="408EA911">
      <w:pPr>
        <w:spacing w:line="56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　　　　　　　　　   　  法定代表人（负责人）：</w:t>
      </w:r>
    </w:p>
    <w:p w14:paraId="25EEBED6">
      <w:pPr>
        <w:spacing w:line="56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　　　　　　　　　      　年    月    日</w:t>
      </w:r>
    </w:p>
    <w:p w14:paraId="19C7B391">
      <w:pPr>
        <w:widowControl/>
        <w:jc w:val="left"/>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45F214BE">
      <w:pPr>
        <w:widowControl/>
        <w:jc w:val="left"/>
        <w:rPr>
          <w:rFonts w:hint="eastAsia" w:ascii="宋体" w:hAnsi="宋体" w:eastAsia="宋体" w:cs="宋体"/>
          <w:b/>
          <w:bCs/>
          <w:color w:val="auto"/>
          <w:highlight w:val="none"/>
        </w:rPr>
      </w:pPr>
    </w:p>
    <w:p w14:paraId="29D7231D">
      <w:pPr>
        <w:spacing w:line="360" w:lineRule="auto"/>
        <w:jc w:val="center"/>
        <w:rPr>
          <w:rFonts w:hint="eastAsia" w:ascii="宋体" w:hAnsi="宋体" w:eastAsia="宋体" w:cs="宋体"/>
          <w:bCs/>
          <w:color w:val="auto"/>
          <w:sz w:val="24"/>
          <w:highlight w:val="none"/>
        </w:rPr>
      </w:pPr>
      <w:r>
        <w:rPr>
          <w:rFonts w:hint="eastAsia" w:ascii="宋体" w:hAnsi="宋体" w:eastAsia="宋体" w:cs="宋体"/>
          <w:b/>
          <w:color w:val="auto"/>
          <w:szCs w:val="21"/>
          <w:highlight w:val="none"/>
        </w:rPr>
        <w:t>三、开标一览表</w:t>
      </w:r>
    </w:p>
    <w:p w14:paraId="1E3F4A88">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p w14:paraId="73B03948">
      <w:pPr>
        <w:spacing w:line="360" w:lineRule="auto"/>
        <w:ind w:firstLine="48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p>
    <w:p w14:paraId="4AAD1A3D">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6766"/>
      </w:tblGrid>
      <w:tr w14:paraId="5A5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3B461CB0">
            <w:pPr>
              <w:shd w:val="clear" w:color="auto" w:fill="auto"/>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0A1CB82C">
            <w:pPr>
              <w:shd w:val="clear" w:color="auto" w:fill="auto"/>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w:t>
            </w:r>
          </w:p>
        </w:tc>
      </w:tr>
      <w:tr w14:paraId="3C90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2B0CDF3C">
            <w:pPr>
              <w:pStyle w:val="15"/>
              <w:shd w:val="clear" w:color="auto" w:fill="auto"/>
              <w:adjustRightInd w:val="0"/>
              <w:snapToGrid w:val="0"/>
              <w:spacing w:line="300" w:lineRule="auto"/>
              <w:jc w:val="center"/>
              <w:rPr>
                <w:rFonts w:hint="eastAsia" w:ascii="宋体" w:hAnsi="宋体" w:eastAsia="宋体" w:cs="宋体"/>
                <w:color w:val="auto"/>
                <w:kern w:val="2"/>
                <w:sz w:val="21"/>
                <w:szCs w:val="21"/>
                <w:highlight w:val="none"/>
                <w:lang w:val="en-US" w:eastAsia="zh-CN"/>
              </w:rPr>
            </w:pPr>
          </w:p>
        </w:tc>
        <w:tc>
          <w:tcPr>
            <w:tcW w:w="6766" w:type="dxa"/>
            <w:tcBorders>
              <w:top w:val="single" w:color="auto" w:sz="4" w:space="0"/>
              <w:left w:val="single" w:color="auto" w:sz="4" w:space="0"/>
              <w:bottom w:val="single" w:color="auto" w:sz="4" w:space="0"/>
              <w:right w:val="single" w:color="auto" w:sz="4" w:space="0"/>
            </w:tcBorders>
            <w:noWrap w:val="0"/>
            <w:vAlign w:val="center"/>
          </w:tcPr>
          <w:p w14:paraId="52E7BE98">
            <w:pPr>
              <w:shd w:val="clear" w:color="auto" w:fill="auto"/>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（人民币）</w:t>
            </w:r>
          </w:p>
          <w:p w14:paraId="624DDD0E">
            <w:pPr>
              <w:shd w:val="clear" w:color="auto" w:fill="auto"/>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6F03E2B5">
            <w:pPr>
              <w:pStyle w:val="15"/>
              <w:shd w:val="clear" w:color="auto" w:fill="auto"/>
              <w:adjustRightInd w:val="0"/>
              <w:snapToGrid w:val="0"/>
              <w:spacing w:line="300" w:lineRule="auto"/>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sz w:val="21"/>
                <w:szCs w:val="21"/>
                <w:highlight w:val="none"/>
              </w:rPr>
              <w:t>其中，税率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C20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6A8DCE0A">
            <w:pPr>
              <w:pStyle w:val="15"/>
              <w:shd w:val="clear" w:color="auto" w:fill="auto"/>
              <w:adjustRightInd w:val="0"/>
              <w:snapToGrid w:val="0"/>
              <w:spacing w:line="30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c>
          <w:tcPr>
            <w:tcW w:w="6766" w:type="dxa"/>
            <w:tcBorders>
              <w:top w:val="single" w:color="auto" w:sz="4" w:space="0"/>
              <w:left w:val="single" w:color="auto" w:sz="4" w:space="0"/>
              <w:bottom w:val="single" w:color="auto" w:sz="4" w:space="0"/>
              <w:right w:val="single" w:color="auto" w:sz="4" w:space="0"/>
            </w:tcBorders>
            <w:noWrap w:val="0"/>
            <w:vAlign w:val="center"/>
          </w:tcPr>
          <w:p w14:paraId="3E4965BB">
            <w:pPr>
              <w:pStyle w:val="15"/>
              <w:shd w:val="clear" w:color="auto" w:fill="auto"/>
              <w:adjustRightInd w:val="0"/>
              <w:snapToGrid w:val="0"/>
              <w:spacing w:line="300" w:lineRule="auto"/>
              <w:ind w:firstLine="1365" w:firstLineChars="650"/>
              <w:rPr>
                <w:rFonts w:hint="eastAsia" w:ascii="宋体" w:hAnsi="宋体" w:eastAsia="宋体" w:cs="宋体"/>
                <w:color w:val="auto"/>
                <w:kern w:val="2"/>
                <w:sz w:val="21"/>
                <w:szCs w:val="21"/>
                <w:highlight w:val="none"/>
                <w:lang w:val="en-US" w:eastAsia="zh-CN"/>
              </w:rPr>
            </w:pPr>
          </w:p>
        </w:tc>
      </w:tr>
    </w:tbl>
    <w:p w14:paraId="6C1421F5">
      <w:pPr>
        <w:rPr>
          <w:rFonts w:hint="eastAsia" w:ascii="宋体" w:hAnsi="宋体" w:eastAsia="宋体" w:cs="宋体"/>
          <w:color w:val="auto"/>
          <w:szCs w:val="21"/>
          <w:highlight w:val="none"/>
        </w:rPr>
      </w:pPr>
    </w:p>
    <w:p w14:paraId="2DAE8F42">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签字或盖章</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w:t>
      </w:r>
    </w:p>
    <w:p w14:paraId="6878A4FF">
      <w:pPr>
        <w:shd w:val="clear" w:color="auto" w:fill="auto"/>
        <w:spacing w:line="360" w:lineRule="auto"/>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日期：     年   月   日</w:t>
      </w:r>
    </w:p>
    <w:p w14:paraId="6C0DF925">
      <w:pPr>
        <w:spacing w:line="360" w:lineRule="auto"/>
        <w:jc w:val="center"/>
        <w:rPr>
          <w:rFonts w:hint="eastAsia" w:ascii="宋体" w:hAnsi="宋体" w:eastAsia="宋体" w:cs="宋体"/>
          <w:b/>
          <w:color w:val="auto"/>
          <w:szCs w:val="21"/>
          <w:highlight w:val="none"/>
        </w:rPr>
      </w:pPr>
    </w:p>
    <w:p w14:paraId="5614A763">
      <w:pPr>
        <w:spacing w:line="360" w:lineRule="auto"/>
        <w:ind w:firstLine="480"/>
        <w:rPr>
          <w:rFonts w:hint="eastAsia" w:ascii="宋体" w:hAnsi="宋体" w:eastAsia="宋体" w:cs="宋体"/>
          <w:i/>
          <w:color w:val="auto"/>
          <w:szCs w:val="21"/>
          <w:highlight w:val="none"/>
          <w:u w:val="single"/>
        </w:rPr>
      </w:pPr>
      <w:r>
        <w:rPr>
          <w:rFonts w:hint="eastAsia" w:ascii="宋体" w:hAnsi="宋体" w:eastAsia="宋体" w:cs="宋体"/>
          <w:color w:val="auto"/>
          <w:szCs w:val="21"/>
          <w:highlight w:val="none"/>
        </w:rPr>
        <w:t>填写说明：</w:t>
      </w:r>
    </w:p>
    <w:p w14:paraId="2D03DF39">
      <w:pPr>
        <w:spacing w:line="360" w:lineRule="auto"/>
        <w:ind w:firstLine="420" w:firstLineChars="200"/>
        <w:rPr>
          <w:rFonts w:hint="eastAsia" w:ascii="宋体" w:hAnsi="宋体" w:eastAsia="宋体" w:cs="宋体"/>
          <w:i/>
          <w:color w:val="auto"/>
          <w:szCs w:val="21"/>
          <w:highlight w:val="none"/>
        </w:rPr>
      </w:pPr>
      <w:r>
        <w:rPr>
          <w:rFonts w:hint="eastAsia" w:ascii="宋体" w:hAnsi="宋体" w:eastAsia="宋体" w:cs="宋体"/>
          <w:i/>
          <w:color w:val="auto"/>
          <w:szCs w:val="21"/>
          <w:highlight w:val="none"/>
        </w:rPr>
        <w:t>1、</w:t>
      </w:r>
      <w:r>
        <w:rPr>
          <w:rFonts w:hint="eastAsia" w:ascii="宋体" w:hAnsi="宋体" w:eastAsia="宋体" w:cs="宋体"/>
          <w:bCs/>
          <w:i/>
          <w:color w:val="auto"/>
          <w:szCs w:val="21"/>
          <w:highlight w:val="none"/>
          <w:u w:val="single"/>
        </w:rPr>
        <w:t>开标一览表必须加盖投标人公章（复印件无效）</w:t>
      </w:r>
      <w:r>
        <w:rPr>
          <w:rFonts w:hint="eastAsia" w:ascii="宋体" w:hAnsi="宋体" w:eastAsia="宋体" w:cs="宋体"/>
          <w:i/>
          <w:color w:val="auto"/>
          <w:szCs w:val="21"/>
          <w:highlight w:val="none"/>
        </w:rPr>
        <w:t>。</w:t>
      </w:r>
    </w:p>
    <w:p w14:paraId="76647BB5">
      <w:pPr>
        <w:pStyle w:val="17"/>
        <w:numPr>
          <w:ilvl w:val="0"/>
          <w:numId w:val="0"/>
        </w:numPr>
        <w:ind w:left="420"/>
        <w:rPr>
          <w:rFonts w:hint="eastAsia" w:ascii="宋体" w:hAnsi="宋体" w:eastAsia="宋体" w:cs="宋体"/>
          <w:color w:val="auto"/>
          <w:highlight w:val="none"/>
        </w:rPr>
      </w:pPr>
    </w:p>
    <w:p w14:paraId="59C7353F">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076A4116">
      <w:pPr>
        <w:spacing w:afterLines="100"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四、分项报价表</w:t>
      </w:r>
    </w:p>
    <w:p w14:paraId="58FF5CE5">
      <w:pPr>
        <w:bidi w:val="0"/>
        <w:rPr>
          <w:rFonts w:hint="eastAsia" w:ascii="宋体" w:hAnsi="宋体" w:eastAsia="宋体" w:cs="宋体"/>
          <w:color w:val="auto"/>
          <w:highlight w:val="none"/>
        </w:rPr>
      </w:pPr>
      <w:r>
        <w:rPr>
          <w:rFonts w:hint="eastAsia" w:ascii="宋体" w:hAnsi="宋体" w:eastAsia="宋体" w:cs="宋体"/>
          <w:color w:val="auto"/>
          <w:highlight w:val="none"/>
        </w:rPr>
        <w:t>投标人全称（加盖公章）：</w:t>
      </w:r>
    </w:p>
    <w:p w14:paraId="6DFE8F4F">
      <w:pPr>
        <w:bidi w:val="0"/>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7D28F252">
      <w:pPr>
        <w:bidi w:val="0"/>
        <w:rPr>
          <w:rFonts w:hint="eastAsia" w:ascii="宋体" w:hAnsi="宋体" w:eastAsia="宋体" w:cs="宋体"/>
          <w:color w:val="auto"/>
          <w:highlight w:val="none"/>
        </w:rPr>
      </w:pPr>
      <w:r>
        <w:rPr>
          <w:rFonts w:hint="eastAsia" w:ascii="宋体" w:hAnsi="宋体" w:eastAsia="宋体" w:cs="宋体"/>
          <w:color w:val="auto"/>
          <w:highlight w:val="none"/>
        </w:rPr>
        <w:t>项目编号：</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1888"/>
        <w:gridCol w:w="1752"/>
        <w:gridCol w:w="1612"/>
        <w:gridCol w:w="2215"/>
      </w:tblGrid>
      <w:tr w14:paraId="6542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5644DC69">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1C9E7B57">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03C80FE1">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31A6F55B">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24" w:type="pct"/>
            <w:tcBorders>
              <w:top w:val="single" w:color="auto" w:sz="4" w:space="0"/>
              <w:left w:val="single" w:color="auto" w:sz="4" w:space="0"/>
              <w:bottom w:val="single" w:color="auto" w:sz="4" w:space="0"/>
              <w:right w:val="single" w:color="auto" w:sz="4" w:space="0"/>
            </w:tcBorders>
            <w:noWrap w:val="0"/>
            <w:vAlign w:val="center"/>
          </w:tcPr>
          <w:p w14:paraId="4473BD26">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14:paraId="3F5F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72E4356F">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2EA6B03B">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06338363">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70DAD91B">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3089AEA2">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p w14:paraId="002F726A">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124" w:type="pct"/>
            <w:tcBorders>
              <w:top w:val="single" w:color="auto" w:sz="4" w:space="0"/>
              <w:left w:val="single" w:color="auto" w:sz="4" w:space="0"/>
              <w:bottom w:val="single" w:color="auto" w:sz="4" w:space="0"/>
              <w:right w:val="single" w:color="auto" w:sz="4" w:space="0"/>
            </w:tcBorders>
            <w:noWrap w:val="0"/>
            <w:vAlign w:val="center"/>
          </w:tcPr>
          <w:p w14:paraId="10311BEA">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1BA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3834CD66">
            <w:pPr>
              <w:shd w:val="clear" w:color="auto" w:fill="auto"/>
              <w:adjustRightInd w:val="0"/>
              <w:jc w:val="center"/>
              <w:rPr>
                <w:rFonts w:hint="eastAsia" w:ascii="宋体" w:hAnsi="宋体" w:eastAsia="宋体" w:cs="宋体"/>
                <w:color w:val="auto"/>
                <w:sz w:val="24"/>
                <w:szCs w:val="24"/>
                <w:highlight w:val="none"/>
              </w:rPr>
            </w:pPr>
          </w:p>
        </w:tc>
        <w:tc>
          <w:tcPr>
            <w:tcW w:w="958" w:type="pct"/>
            <w:tcBorders>
              <w:top w:val="single" w:color="auto" w:sz="4" w:space="0"/>
              <w:left w:val="single" w:color="auto" w:sz="4" w:space="0"/>
              <w:bottom w:val="single" w:color="auto" w:sz="4" w:space="0"/>
              <w:right w:val="single" w:color="auto" w:sz="4" w:space="0"/>
            </w:tcBorders>
            <w:noWrap w:val="0"/>
            <w:vAlign w:val="center"/>
          </w:tcPr>
          <w:p w14:paraId="6634419B">
            <w:pPr>
              <w:shd w:val="clear" w:color="auto" w:fill="auto"/>
              <w:adjustRightInd w:val="0"/>
              <w:jc w:val="center"/>
              <w:rPr>
                <w:rFonts w:hint="eastAsia" w:ascii="宋体" w:hAnsi="宋体" w:eastAsia="宋体" w:cs="宋体"/>
                <w:color w:val="auto"/>
                <w:sz w:val="24"/>
                <w:szCs w:val="24"/>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6AD9CE4A">
            <w:pPr>
              <w:shd w:val="clear" w:color="auto" w:fill="auto"/>
              <w:adjustRightInd w:val="0"/>
              <w:jc w:val="center"/>
              <w:rPr>
                <w:rFonts w:hint="eastAsia" w:ascii="宋体" w:hAnsi="宋体" w:eastAsia="宋体" w:cs="宋体"/>
                <w:color w:val="auto"/>
                <w:sz w:val="24"/>
                <w:szCs w:val="24"/>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7E8138B9">
            <w:pPr>
              <w:shd w:val="clear" w:color="auto" w:fill="auto"/>
              <w:adjustRightInd w:val="0"/>
              <w:jc w:val="center"/>
              <w:rPr>
                <w:rFonts w:hint="eastAsia" w:ascii="宋体" w:hAnsi="宋体" w:eastAsia="宋体" w:cs="宋体"/>
                <w:color w:val="auto"/>
                <w:sz w:val="24"/>
                <w:szCs w:val="24"/>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14:paraId="0643EC2D">
            <w:pPr>
              <w:shd w:val="clear" w:color="auto" w:fill="auto"/>
              <w:adjustRightInd w:val="0"/>
              <w:jc w:val="center"/>
              <w:rPr>
                <w:rFonts w:hint="eastAsia" w:ascii="宋体" w:hAnsi="宋体" w:eastAsia="宋体" w:cs="宋体"/>
                <w:color w:val="auto"/>
                <w:sz w:val="24"/>
                <w:szCs w:val="24"/>
                <w:highlight w:val="none"/>
              </w:rPr>
            </w:pPr>
          </w:p>
        </w:tc>
      </w:tr>
      <w:tr w14:paraId="2B51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61F7DD86">
            <w:pPr>
              <w:shd w:val="clear" w:color="auto" w:fill="auto"/>
              <w:adjustRightInd w:val="0"/>
              <w:jc w:val="center"/>
              <w:rPr>
                <w:rFonts w:hint="eastAsia" w:ascii="宋体" w:hAnsi="宋体" w:eastAsia="宋体" w:cs="宋体"/>
                <w:color w:val="auto"/>
                <w:sz w:val="24"/>
                <w:szCs w:val="24"/>
                <w:highlight w:val="none"/>
              </w:rPr>
            </w:pPr>
          </w:p>
        </w:tc>
        <w:tc>
          <w:tcPr>
            <w:tcW w:w="958" w:type="pct"/>
            <w:tcBorders>
              <w:top w:val="single" w:color="auto" w:sz="4" w:space="0"/>
              <w:left w:val="single" w:color="auto" w:sz="4" w:space="0"/>
              <w:bottom w:val="single" w:color="auto" w:sz="4" w:space="0"/>
              <w:right w:val="single" w:color="auto" w:sz="4" w:space="0"/>
            </w:tcBorders>
            <w:noWrap w:val="0"/>
            <w:vAlign w:val="center"/>
          </w:tcPr>
          <w:p w14:paraId="254872EB">
            <w:pPr>
              <w:shd w:val="clear" w:color="auto" w:fill="auto"/>
              <w:adjustRightInd w:val="0"/>
              <w:jc w:val="center"/>
              <w:rPr>
                <w:rFonts w:hint="eastAsia" w:ascii="宋体" w:hAnsi="宋体" w:eastAsia="宋体" w:cs="宋体"/>
                <w:color w:val="auto"/>
                <w:sz w:val="24"/>
                <w:szCs w:val="24"/>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21D571C9">
            <w:pPr>
              <w:shd w:val="clear" w:color="auto" w:fill="auto"/>
              <w:adjustRightInd w:val="0"/>
              <w:jc w:val="center"/>
              <w:rPr>
                <w:rFonts w:hint="eastAsia" w:ascii="宋体" w:hAnsi="宋体" w:eastAsia="宋体" w:cs="宋体"/>
                <w:color w:val="auto"/>
                <w:sz w:val="24"/>
                <w:szCs w:val="24"/>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1CB7BB3B">
            <w:pPr>
              <w:shd w:val="clear" w:color="auto" w:fill="auto"/>
              <w:adjustRightInd w:val="0"/>
              <w:jc w:val="center"/>
              <w:rPr>
                <w:rFonts w:hint="eastAsia" w:ascii="宋体" w:hAnsi="宋体" w:eastAsia="宋体" w:cs="宋体"/>
                <w:color w:val="auto"/>
                <w:sz w:val="24"/>
                <w:szCs w:val="24"/>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14:paraId="16CB7DA8">
            <w:pPr>
              <w:shd w:val="clear" w:color="auto" w:fill="auto"/>
              <w:adjustRightInd w:val="0"/>
              <w:jc w:val="center"/>
              <w:rPr>
                <w:rFonts w:hint="eastAsia" w:ascii="宋体" w:hAnsi="宋体" w:eastAsia="宋体" w:cs="宋体"/>
                <w:color w:val="auto"/>
                <w:sz w:val="24"/>
                <w:szCs w:val="24"/>
                <w:highlight w:val="none"/>
              </w:rPr>
            </w:pPr>
          </w:p>
        </w:tc>
      </w:tr>
      <w:tr w14:paraId="4104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0" w:hRule="atLeas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5FD57EE2">
            <w:pPr>
              <w:shd w:val="clear" w:color="auto" w:fill="auto"/>
              <w:adjustRightInd w:val="0"/>
              <w:jc w:val="center"/>
              <w:rPr>
                <w:rFonts w:hint="eastAsia" w:ascii="宋体" w:hAnsi="宋体" w:eastAsia="宋体" w:cs="宋体"/>
                <w:color w:val="auto"/>
                <w:sz w:val="24"/>
                <w:szCs w:val="24"/>
                <w:highlight w:val="none"/>
              </w:rPr>
            </w:pPr>
          </w:p>
        </w:tc>
        <w:tc>
          <w:tcPr>
            <w:tcW w:w="958" w:type="pct"/>
            <w:tcBorders>
              <w:top w:val="single" w:color="auto" w:sz="4" w:space="0"/>
              <w:left w:val="single" w:color="auto" w:sz="4" w:space="0"/>
              <w:bottom w:val="single" w:color="auto" w:sz="4" w:space="0"/>
              <w:right w:val="single" w:color="auto" w:sz="4" w:space="0"/>
            </w:tcBorders>
            <w:noWrap w:val="0"/>
            <w:vAlign w:val="center"/>
          </w:tcPr>
          <w:p w14:paraId="7506A4FF">
            <w:pPr>
              <w:shd w:val="clear" w:color="auto" w:fill="auto"/>
              <w:adjustRightInd w:val="0"/>
              <w:jc w:val="center"/>
              <w:rPr>
                <w:rFonts w:hint="eastAsia" w:ascii="宋体" w:hAnsi="宋体" w:eastAsia="宋体" w:cs="宋体"/>
                <w:color w:val="auto"/>
                <w:sz w:val="24"/>
                <w:szCs w:val="24"/>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4DDF5B51">
            <w:pPr>
              <w:shd w:val="clear" w:color="auto" w:fill="auto"/>
              <w:adjustRightInd w:val="0"/>
              <w:jc w:val="center"/>
              <w:rPr>
                <w:rFonts w:hint="eastAsia" w:ascii="宋体" w:hAnsi="宋体" w:eastAsia="宋体" w:cs="宋体"/>
                <w:color w:val="auto"/>
                <w:sz w:val="24"/>
                <w:szCs w:val="24"/>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4568BA5F">
            <w:pPr>
              <w:shd w:val="clear" w:color="auto" w:fill="auto"/>
              <w:adjustRightInd w:val="0"/>
              <w:jc w:val="center"/>
              <w:rPr>
                <w:rFonts w:hint="eastAsia" w:ascii="宋体" w:hAnsi="宋体" w:eastAsia="宋体" w:cs="宋体"/>
                <w:color w:val="auto"/>
                <w:sz w:val="24"/>
                <w:szCs w:val="24"/>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14:paraId="21B21C12">
            <w:pPr>
              <w:shd w:val="clear" w:color="auto" w:fill="auto"/>
              <w:adjustRightInd w:val="0"/>
              <w:jc w:val="center"/>
              <w:rPr>
                <w:rFonts w:hint="eastAsia" w:ascii="宋体" w:hAnsi="宋体" w:eastAsia="宋体" w:cs="宋体"/>
                <w:color w:val="auto"/>
                <w:sz w:val="24"/>
                <w:szCs w:val="24"/>
                <w:highlight w:val="none"/>
              </w:rPr>
            </w:pPr>
          </w:p>
        </w:tc>
      </w:tr>
      <w:tr w14:paraId="2F7A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55E39522">
            <w:pPr>
              <w:shd w:val="clear" w:color="auto" w:fill="auto"/>
              <w:adjustRightInd w:val="0"/>
              <w:jc w:val="center"/>
              <w:rPr>
                <w:rFonts w:hint="eastAsia" w:ascii="宋体" w:hAnsi="宋体" w:eastAsia="宋体" w:cs="宋体"/>
                <w:color w:val="auto"/>
                <w:sz w:val="24"/>
                <w:szCs w:val="24"/>
                <w:highlight w:val="none"/>
              </w:rPr>
            </w:pPr>
          </w:p>
        </w:tc>
        <w:tc>
          <w:tcPr>
            <w:tcW w:w="958" w:type="pct"/>
            <w:tcBorders>
              <w:top w:val="single" w:color="auto" w:sz="4" w:space="0"/>
              <w:left w:val="single" w:color="auto" w:sz="4" w:space="0"/>
              <w:bottom w:val="single" w:color="auto" w:sz="4" w:space="0"/>
              <w:right w:val="single" w:color="auto" w:sz="4" w:space="0"/>
            </w:tcBorders>
            <w:noWrap w:val="0"/>
            <w:vAlign w:val="center"/>
          </w:tcPr>
          <w:p w14:paraId="2220F6E0">
            <w:pPr>
              <w:shd w:val="clear" w:color="auto" w:fill="auto"/>
              <w:adjustRightInd w:val="0"/>
              <w:jc w:val="center"/>
              <w:rPr>
                <w:rFonts w:hint="eastAsia" w:ascii="宋体" w:hAnsi="宋体" w:eastAsia="宋体" w:cs="宋体"/>
                <w:color w:val="auto"/>
                <w:sz w:val="24"/>
                <w:szCs w:val="24"/>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0339F0B2">
            <w:pPr>
              <w:shd w:val="clear" w:color="auto" w:fill="auto"/>
              <w:adjustRightInd w:val="0"/>
              <w:jc w:val="center"/>
              <w:rPr>
                <w:rFonts w:hint="eastAsia" w:ascii="宋体" w:hAnsi="宋体" w:eastAsia="宋体" w:cs="宋体"/>
                <w:color w:val="auto"/>
                <w:sz w:val="24"/>
                <w:szCs w:val="24"/>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782A7C6B">
            <w:pPr>
              <w:shd w:val="clear" w:color="auto" w:fill="auto"/>
              <w:adjustRightInd w:val="0"/>
              <w:jc w:val="center"/>
              <w:rPr>
                <w:rFonts w:hint="eastAsia" w:ascii="宋体" w:hAnsi="宋体" w:eastAsia="宋体" w:cs="宋体"/>
                <w:color w:val="auto"/>
                <w:sz w:val="24"/>
                <w:szCs w:val="24"/>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14:paraId="71A86022">
            <w:pPr>
              <w:shd w:val="clear" w:color="auto" w:fill="auto"/>
              <w:adjustRightInd w:val="0"/>
              <w:jc w:val="center"/>
              <w:rPr>
                <w:rFonts w:hint="eastAsia" w:ascii="宋体" w:hAnsi="宋体" w:eastAsia="宋体" w:cs="宋体"/>
                <w:color w:val="auto"/>
                <w:sz w:val="24"/>
                <w:szCs w:val="24"/>
                <w:highlight w:val="none"/>
              </w:rPr>
            </w:pPr>
          </w:p>
        </w:tc>
      </w:tr>
      <w:tr w14:paraId="3228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6DDB4D6D">
            <w:pPr>
              <w:shd w:val="clear" w:color="auto" w:fill="auto"/>
              <w:adjustRightInd w:val="0"/>
              <w:jc w:val="center"/>
              <w:rPr>
                <w:rFonts w:hint="eastAsia" w:ascii="宋体" w:hAnsi="宋体" w:eastAsia="宋体" w:cs="宋体"/>
                <w:color w:val="auto"/>
                <w:szCs w:val="21"/>
                <w:highlight w:val="none"/>
              </w:rPr>
            </w:pPr>
          </w:p>
        </w:tc>
        <w:tc>
          <w:tcPr>
            <w:tcW w:w="958" w:type="pct"/>
            <w:tcBorders>
              <w:top w:val="single" w:color="auto" w:sz="4" w:space="0"/>
              <w:left w:val="single" w:color="auto" w:sz="4" w:space="0"/>
              <w:bottom w:val="single" w:color="auto" w:sz="4" w:space="0"/>
              <w:right w:val="single" w:color="auto" w:sz="4" w:space="0"/>
            </w:tcBorders>
            <w:noWrap w:val="0"/>
            <w:vAlign w:val="center"/>
          </w:tcPr>
          <w:p w14:paraId="35F6DEB5">
            <w:pPr>
              <w:shd w:val="clear" w:color="auto" w:fill="auto"/>
              <w:adjustRightInd w:val="0"/>
              <w:jc w:val="center"/>
              <w:rPr>
                <w:rFonts w:hint="eastAsia" w:ascii="宋体" w:hAnsi="宋体" w:eastAsia="宋体" w:cs="宋体"/>
                <w:color w:val="auto"/>
                <w:sz w:val="24"/>
                <w:szCs w:val="24"/>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13284C39">
            <w:pPr>
              <w:shd w:val="clear" w:color="auto" w:fill="auto"/>
              <w:adjustRightInd w:val="0"/>
              <w:jc w:val="center"/>
              <w:rPr>
                <w:rFonts w:hint="eastAsia" w:ascii="宋体" w:hAnsi="宋体" w:eastAsia="宋体" w:cs="宋体"/>
                <w:color w:val="auto"/>
                <w:sz w:val="24"/>
                <w:szCs w:val="24"/>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374F1E42">
            <w:pPr>
              <w:shd w:val="clear" w:color="auto" w:fill="auto"/>
              <w:adjustRightInd w:val="0"/>
              <w:jc w:val="center"/>
              <w:rPr>
                <w:rFonts w:hint="eastAsia" w:ascii="宋体" w:hAnsi="宋体" w:eastAsia="宋体" w:cs="宋体"/>
                <w:color w:val="auto"/>
                <w:sz w:val="24"/>
                <w:szCs w:val="24"/>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14:paraId="04066142">
            <w:pPr>
              <w:shd w:val="clear" w:color="auto" w:fill="auto"/>
              <w:adjustRightInd w:val="0"/>
              <w:jc w:val="center"/>
              <w:rPr>
                <w:rFonts w:hint="eastAsia" w:ascii="宋体" w:hAnsi="宋体" w:eastAsia="宋体" w:cs="宋体"/>
                <w:color w:val="auto"/>
                <w:sz w:val="24"/>
                <w:szCs w:val="24"/>
                <w:highlight w:val="none"/>
              </w:rPr>
            </w:pPr>
          </w:p>
        </w:tc>
      </w:tr>
      <w:tr w14:paraId="27A9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6E2D0BBD">
            <w:pPr>
              <w:shd w:val="clear" w:color="auto" w:fill="auto"/>
              <w:adjustRightInd w:val="0"/>
              <w:jc w:val="center"/>
              <w:rPr>
                <w:rFonts w:hint="eastAsia" w:ascii="宋体" w:hAnsi="宋体" w:eastAsia="宋体" w:cs="宋体"/>
                <w:color w:val="auto"/>
                <w:szCs w:val="21"/>
                <w:highlight w:val="none"/>
              </w:rPr>
            </w:pPr>
          </w:p>
        </w:tc>
        <w:tc>
          <w:tcPr>
            <w:tcW w:w="958" w:type="pct"/>
            <w:tcBorders>
              <w:top w:val="single" w:color="auto" w:sz="4" w:space="0"/>
              <w:left w:val="single" w:color="auto" w:sz="4" w:space="0"/>
              <w:bottom w:val="single" w:color="auto" w:sz="4" w:space="0"/>
              <w:right w:val="single" w:color="auto" w:sz="4" w:space="0"/>
            </w:tcBorders>
            <w:noWrap w:val="0"/>
            <w:vAlign w:val="center"/>
          </w:tcPr>
          <w:p w14:paraId="5F063477">
            <w:pPr>
              <w:shd w:val="clear" w:color="auto" w:fill="auto"/>
              <w:adjustRightInd w:val="0"/>
              <w:jc w:val="center"/>
              <w:rPr>
                <w:rFonts w:hint="eastAsia" w:ascii="宋体" w:hAnsi="宋体" w:eastAsia="宋体" w:cs="宋体"/>
                <w:color w:val="auto"/>
                <w:sz w:val="24"/>
                <w:szCs w:val="24"/>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26B00360">
            <w:pPr>
              <w:shd w:val="clear" w:color="auto" w:fill="auto"/>
              <w:adjustRightInd w:val="0"/>
              <w:jc w:val="center"/>
              <w:rPr>
                <w:rFonts w:hint="eastAsia" w:ascii="宋体" w:hAnsi="宋体" w:eastAsia="宋体" w:cs="宋体"/>
                <w:color w:val="auto"/>
                <w:sz w:val="24"/>
                <w:szCs w:val="24"/>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3AE7D728">
            <w:pPr>
              <w:shd w:val="clear" w:color="auto" w:fill="auto"/>
              <w:adjustRightInd w:val="0"/>
              <w:jc w:val="center"/>
              <w:rPr>
                <w:rFonts w:hint="eastAsia" w:ascii="宋体" w:hAnsi="宋体" w:eastAsia="宋体" w:cs="宋体"/>
                <w:color w:val="auto"/>
                <w:sz w:val="24"/>
                <w:szCs w:val="24"/>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14:paraId="75E44F28">
            <w:pPr>
              <w:shd w:val="clear" w:color="auto" w:fill="auto"/>
              <w:adjustRightInd w:val="0"/>
              <w:jc w:val="center"/>
              <w:rPr>
                <w:rFonts w:hint="eastAsia" w:ascii="宋体" w:hAnsi="宋体" w:eastAsia="宋体" w:cs="宋体"/>
                <w:color w:val="auto"/>
                <w:sz w:val="24"/>
                <w:szCs w:val="24"/>
                <w:highlight w:val="none"/>
              </w:rPr>
            </w:pPr>
          </w:p>
        </w:tc>
      </w:tr>
      <w:tr w14:paraId="31A6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1F3DFEF7">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3870B076">
            <w:pPr>
              <w:shd w:val="clear" w:color="auto" w:fill="auto"/>
              <w:adjustRightInd w:val="0"/>
              <w:jc w:val="center"/>
              <w:rPr>
                <w:rFonts w:hint="eastAsia" w:ascii="宋体" w:hAnsi="宋体" w:eastAsia="宋体" w:cs="宋体"/>
                <w:color w:val="auto"/>
                <w:sz w:val="24"/>
                <w:szCs w:val="24"/>
                <w:highlight w:val="none"/>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77DFDAE4">
            <w:pPr>
              <w:shd w:val="clear" w:color="auto" w:fill="auto"/>
              <w:adjustRightInd w:val="0"/>
              <w:jc w:val="center"/>
              <w:rPr>
                <w:rFonts w:hint="eastAsia" w:ascii="宋体" w:hAnsi="宋体" w:eastAsia="宋体" w:cs="宋体"/>
                <w:color w:val="auto"/>
                <w:sz w:val="24"/>
                <w:szCs w:val="24"/>
                <w:highlight w:val="none"/>
              </w:rPr>
            </w:pPr>
          </w:p>
        </w:tc>
        <w:tc>
          <w:tcPr>
            <w:tcW w:w="818" w:type="pct"/>
            <w:tcBorders>
              <w:top w:val="single" w:color="auto" w:sz="4" w:space="0"/>
              <w:left w:val="single" w:color="auto" w:sz="4" w:space="0"/>
              <w:bottom w:val="single" w:color="auto" w:sz="4" w:space="0"/>
              <w:right w:val="single" w:color="auto" w:sz="4" w:space="0"/>
            </w:tcBorders>
            <w:noWrap w:val="0"/>
            <w:vAlign w:val="center"/>
          </w:tcPr>
          <w:p w14:paraId="6621538B">
            <w:pPr>
              <w:shd w:val="clear" w:color="auto" w:fill="auto"/>
              <w:adjustRightInd w:val="0"/>
              <w:jc w:val="center"/>
              <w:rPr>
                <w:rFonts w:hint="eastAsia" w:ascii="宋体" w:hAnsi="宋体" w:eastAsia="宋体" w:cs="宋体"/>
                <w:color w:val="auto"/>
                <w:sz w:val="24"/>
                <w:szCs w:val="24"/>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14:paraId="5152D6B0">
            <w:pPr>
              <w:shd w:val="clear" w:color="auto" w:fill="auto"/>
              <w:adjustRightInd w:val="0"/>
              <w:jc w:val="center"/>
              <w:rPr>
                <w:rFonts w:hint="eastAsia" w:ascii="宋体" w:hAnsi="宋体" w:eastAsia="宋体" w:cs="宋体"/>
                <w:color w:val="auto"/>
                <w:sz w:val="24"/>
                <w:szCs w:val="24"/>
                <w:highlight w:val="none"/>
              </w:rPr>
            </w:pPr>
          </w:p>
        </w:tc>
      </w:tr>
      <w:tr w14:paraId="20A2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3" w:hRule="atLeast"/>
          <w:jc w:val="center"/>
        </w:trPr>
        <w:tc>
          <w:tcPr>
            <w:tcW w:w="1210" w:type="pct"/>
            <w:tcBorders>
              <w:top w:val="single" w:color="auto" w:sz="4" w:space="0"/>
              <w:left w:val="single" w:color="auto" w:sz="4" w:space="0"/>
              <w:bottom w:val="single" w:color="auto" w:sz="4" w:space="0"/>
              <w:right w:val="single" w:color="auto" w:sz="4" w:space="0"/>
            </w:tcBorders>
            <w:noWrap w:val="0"/>
            <w:vAlign w:val="center"/>
          </w:tcPr>
          <w:p w14:paraId="5BA29875">
            <w:pPr>
              <w:shd w:val="clear" w:color="auto" w:fill="auto"/>
              <w:adjustRightIn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665" w:type="pct"/>
            <w:gridSpan w:val="3"/>
            <w:tcBorders>
              <w:top w:val="single" w:color="auto" w:sz="4" w:space="0"/>
              <w:left w:val="single" w:color="auto" w:sz="4" w:space="0"/>
              <w:bottom w:val="single" w:color="auto" w:sz="4" w:space="0"/>
              <w:right w:val="single" w:color="auto" w:sz="4" w:space="0"/>
            </w:tcBorders>
            <w:noWrap w:val="0"/>
            <w:vAlign w:val="center"/>
          </w:tcPr>
          <w:p w14:paraId="63FD20D0">
            <w:pPr>
              <w:shd w:val="clear" w:color="auto" w:fill="auto"/>
              <w:adjustRightInd w:val="0"/>
              <w:jc w:val="center"/>
              <w:rPr>
                <w:rFonts w:hint="eastAsia" w:ascii="宋体" w:hAnsi="宋体" w:eastAsia="宋体" w:cs="宋体"/>
                <w:color w:val="auto"/>
                <w:szCs w:val="21"/>
                <w:highlight w:val="none"/>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14:paraId="18B01006">
            <w:pPr>
              <w:shd w:val="clear" w:color="auto" w:fill="auto"/>
              <w:adjustRightInd w:val="0"/>
              <w:jc w:val="center"/>
              <w:rPr>
                <w:rFonts w:hint="eastAsia" w:ascii="宋体" w:hAnsi="宋体" w:eastAsia="宋体" w:cs="宋体"/>
                <w:color w:val="auto"/>
                <w:szCs w:val="21"/>
                <w:highlight w:val="none"/>
              </w:rPr>
            </w:pPr>
          </w:p>
        </w:tc>
      </w:tr>
    </w:tbl>
    <w:p w14:paraId="14FFCDC9">
      <w:pPr>
        <w:rPr>
          <w:rFonts w:hint="eastAsia" w:ascii="宋体" w:hAnsi="宋体" w:eastAsia="宋体" w:cs="宋体"/>
          <w:color w:val="auto"/>
          <w:szCs w:val="21"/>
          <w:highlight w:val="none"/>
        </w:rPr>
      </w:pPr>
    </w:p>
    <w:p w14:paraId="5123C8B2">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签字或盖章</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w:t>
      </w:r>
    </w:p>
    <w:p w14:paraId="43C8618A">
      <w:pPr>
        <w:shd w:val="clear" w:color="auto" w:fill="auto"/>
        <w:spacing w:line="360" w:lineRule="auto"/>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日期：     年   月   日</w:t>
      </w:r>
    </w:p>
    <w:p w14:paraId="42530CD8">
      <w:pPr>
        <w:widowControl w:val="0"/>
        <w:shd w:val="clear" w:color="auto" w:fill="auto"/>
        <w:spacing w:before="156" w:after="156"/>
        <w:ind w:firstLine="0" w:firstLineChars="0"/>
        <w:jc w:val="both"/>
        <w:rPr>
          <w:rFonts w:hint="eastAsia" w:ascii="宋体" w:hAnsi="宋体" w:eastAsia="宋体" w:cs="宋体"/>
          <w:color w:val="auto"/>
          <w:kern w:val="2"/>
          <w:sz w:val="21"/>
          <w:szCs w:val="22"/>
          <w:highlight w:val="none"/>
          <w:lang w:val="en-US" w:eastAsia="zh-CN" w:bidi="ar-SA"/>
        </w:rPr>
      </w:pPr>
    </w:p>
    <w:p w14:paraId="396097C3">
      <w:pPr>
        <w:widowControl w:val="0"/>
        <w:shd w:val="clear" w:color="auto" w:fill="auto"/>
        <w:spacing w:before="156" w:after="156"/>
        <w:ind w:firstLine="0" w:firstLineChars="0"/>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注：以上分项格式仅供参考，投标人可根据要求自行分项报价。</w:t>
      </w:r>
    </w:p>
    <w:p w14:paraId="7EC3B903">
      <w:pPr>
        <w:jc w:val="left"/>
        <w:rPr>
          <w:rFonts w:hint="eastAsia" w:ascii="宋体" w:hAnsi="宋体" w:eastAsia="宋体" w:cs="宋体"/>
          <w:color w:val="auto"/>
          <w:sz w:val="24"/>
          <w:szCs w:val="24"/>
          <w:highlight w:val="none"/>
        </w:rPr>
      </w:pPr>
    </w:p>
    <w:p w14:paraId="418F2DC0">
      <w:pPr>
        <w:pStyle w:val="17"/>
        <w:numPr>
          <w:ilvl w:val="0"/>
          <w:numId w:val="0"/>
        </w:numPr>
        <w:rPr>
          <w:rFonts w:hint="eastAsia" w:ascii="宋体" w:hAnsi="宋体" w:eastAsia="宋体" w:cs="宋体"/>
          <w:bCs/>
          <w:color w:val="auto"/>
          <w:sz w:val="24"/>
          <w:highlight w:val="none"/>
        </w:rPr>
      </w:pPr>
    </w:p>
    <w:p w14:paraId="2A4C38AD">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0EE101CB">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r>
        <w:rPr>
          <w:rFonts w:hint="eastAsia" w:ascii="宋体" w:hAnsi="宋体" w:eastAsia="宋体" w:cs="宋体"/>
          <w:b/>
          <w:color w:val="auto"/>
          <w:sz w:val="21"/>
          <w:szCs w:val="21"/>
          <w:highlight w:val="none"/>
        </w:rPr>
        <w:t>项目组人员配置</w:t>
      </w:r>
    </w:p>
    <w:p w14:paraId="6FF2F0F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p w14:paraId="78BE172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04966E2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34"/>
        <w:tblW w:w="930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01"/>
        <w:gridCol w:w="1443"/>
        <w:gridCol w:w="1444"/>
        <w:gridCol w:w="1155"/>
        <w:gridCol w:w="4258"/>
      </w:tblGrid>
      <w:tr w14:paraId="54A6E4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7" w:hRule="atLeast"/>
          <w:jc w:val="center"/>
        </w:trPr>
        <w:tc>
          <w:tcPr>
            <w:tcW w:w="1001" w:type="dxa"/>
            <w:tcBorders>
              <w:top w:val="single" w:color="000000" w:sz="8"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0D3AC9">
            <w:pPr>
              <w:shd w:val="clear" w:color="auto" w:fill="auto"/>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姓名</w:t>
            </w:r>
          </w:p>
        </w:tc>
        <w:tc>
          <w:tcPr>
            <w:tcW w:w="1443"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C6C008">
            <w:pPr>
              <w:shd w:val="clear" w:color="auto" w:fill="auto"/>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公司职务</w:t>
            </w:r>
          </w:p>
        </w:tc>
        <w:tc>
          <w:tcPr>
            <w:tcW w:w="1444"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77CD8AC">
            <w:pPr>
              <w:shd w:val="clear" w:color="auto" w:fill="auto"/>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项目职务</w:t>
            </w:r>
          </w:p>
        </w:tc>
        <w:tc>
          <w:tcPr>
            <w:tcW w:w="1155"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1BE850">
            <w:pPr>
              <w:shd w:val="clear" w:color="auto" w:fill="auto"/>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从业年限</w:t>
            </w:r>
          </w:p>
        </w:tc>
        <w:tc>
          <w:tcPr>
            <w:tcW w:w="4256" w:type="dxa"/>
            <w:tcBorders>
              <w:top w:val="single" w:color="000000" w:sz="8"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3A9B110F">
            <w:pPr>
              <w:shd w:val="clear" w:color="auto" w:fill="auto"/>
              <w:tabs>
                <w:tab w:val="left" w:pos="720"/>
                <w:tab w:val="left" w:pos="1440"/>
                <w:tab w:val="left" w:pos="2160"/>
                <w:tab w:val="left" w:pos="2880"/>
                <w:tab w:val="left" w:pos="36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承担项目经历</w:t>
            </w:r>
          </w:p>
        </w:tc>
      </w:tr>
      <w:tr w14:paraId="32A705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33"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E7E55CA">
            <w:pPr>
              <w:shd w:val="clear" w:color="auto" w:fill="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168BDBC">
            <w:pPr>
              <w:shd w:val="clear" w:color="auto" w:fill="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2865182">
            <w:pPr>
              <w:shd w:val="clear" w:color="auto" w:fill="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D0F5C3B">
            <w:pPr>
              <w:shd w:val="clear" w:color="auto" w:fill="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36D0FB39">
            <w:pPr>
              <w:shd w:val="clear" w:color="auto" w:fill="auto"/>
              <w:jc w:val="center"/>
              <w:rPr>
                <w:rFonts w:hint="eastAsia" w:ascii="宋体" w:hAnsi="宋体" w:eastAsia="宋体" w:cs="宋体"/>
                <w:color w:val="auto"/>
                <w:szCs w:val="21"/>
                <w:highlight w:val="none"/>
              </w:rPr>
            </w:pPr>
          </w:p>
        </w:tc>
      </w:tr>
      <w:tr w14:paraId="1C59DB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9"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4F4BA32">
            <w:pPr>
              <w:shd w:val="clear" w:color="auto" w:fill="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376F844">
            <w:pPr>
              <w:shd w:val="clear" w:color="auto" w:fill="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F703A1">
            <w:pPr>
              <w:shd w:val="clear" w:color="auto" w:fill="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AFC050">
            <w:pPr>
              <w:shd w:val="clear" w:color="auto" w:fill="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18EE9128">
            <w:pPr>
              <w:shd w:val="clear" w:color="auto" w:fill="auto"/>
              <w:jc w:val="center"/>
              <w:rPr>
                <w:rFonts w:hint="eastAsia" w:ascii="宋体" w:hAnsi="宋体" w:eastAsia="宋体" w:cs="宋体"/>
                <w:color w:val="auto"/>
                <w:szCs w:val="21"/>
                <w:highlight w:val="none"/>
              </w:rPr>
            </w:pPr>
          </w:p>
        </w:tc>
      </w:tr>
      <w:tr w14:paraId="55E72F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9"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BD7981">
            <w:pPr>
              <w:shd w:val="clear" w:color="auto" w:fill="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A44E847">
            <w:pPr>
              <w:shd w:val="clear" w:color="auto" w:fill="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486256">
            <w:pPr>
              <w:shd w:val="clear" w:color="auto" w:fill="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C43757">
            <w:pPr>
              <w:shd w:val="clear" w:color="auto" w:fill="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3AE1ACA0">
            <w:pPr>
              <w:shd w:val="clear" w:color="auto" w:fill="auto"/>
              <w:jc w:val="center"/>
              <w:rPr>
                <w:rFonts w:hint="eastAsia" w:ascii="宋体" w:hAnsi="宋体" w:eastAsia="宋体" w:cs="宋体"/>
                <w:color w:val="auto"/>
                <w:szCs w:val="21"/>
                <w:highlight w:val="none"/>
              </w:rPr>
            </w:pPr>
          </w:p>
        </w:tc>
      </w:tr>
      <w:tr w14:paraId="497B4C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9"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E902572">
            <w:pPr>
              <w:shd w:val="clear" w:color="auto" w:fill="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7E32134">
            <w:pPr>
              <w:shd w:val="clear" w:color="auto" w:fill="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3D169A">
            <w:pPr>
              <w:shd w:val="clear" w:color="auto" w:fill="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8CD1A60">
            <w:pPr>
              <w:shd w:val="clear" w:color="auto" w:fill="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3303A682">
            <w:pPr>
              <w:shd w:val="clear" w:color="auto" w:fill="auto"/>
              <w:jc w:val="center"/>
              <w:rPr>
                <w:rFonts w:hint="eastAsia" w:ascii="宋体" w:hAnsi="宋体" w:eastAsia="宋体" w:cs="宋体"/>
                <w:color w:val="auto"/>
                <w:szCs w:val="21"/>
                <w:highlight w:val="none"/>
              </w:rPr>
            </w:pPr>
          </w:p>
        </w:tc>
      </w:tr>
      <w:tr w14:paraId="78EE99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9"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A1229C7">
            <w:pPr>
              <w:shd w:val="clear" w:color="auto" w:fill="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954A892">
            <w:pPr>
              <w:shd w:val="clear" w:color="auto" w:fill="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90C7D38">
            <w:pPr>
              <w:shd w:val="clear" w:color="auto" w:fill="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89489DC">
            <w:pPr>
              <w:shd w:val="clear" w:color="auto" w:fill="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77274F3C">
            <w:pPr>
              <w:shd w:val="clear" w:color="auto" w:fill="auto"/>
              <w:jc w:val="center"/>
              <w:rPr>
                <w:rFonts w:hint="eastAsia" w:ascii="宋体" w:hAnsi="宋体" w:eastAsia="宋体" w:cs="宋体"/>
                <w:color w:val="auto"/>
                <w:szCs w:val="21"/>
                <w:highlight w:val="none"/>
              </w:rPr>
            </w:pPr>
          </w:p>
        </w:tc>
      </w:tr>
      <w:tr w14:paraId="4A12BA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9"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399E2C">
            <w:pPr>
              <w:shd w:val="clear" w:color="auto" w:fill="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D4AB7B9">
            <w:pPr>
              <w:shd w:val="clear" w:color="auto" w:fill="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970562">
            <w:pPr>
              <w:shd w:val="clear" w:color="auto" w:fill="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5F419E">
            <w:pPr>
              <w:shd w:val="clear" w:color="auto" w:fill="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4F0BC349">
            <w:pPr>
              <w:shd w:val="clear" w:color="auto" w:fill="auto"/>
              <w:jc w:val="center"/>
              <w:rPr>
                <w:rFonts w:hint="eastAsia" w:ascii="宋体" w:hAnsi="宋体" w:eastAsia="宋体" w:cs="宋体"/>
                <w:color w:val="auto"/>
                <w:szCs w:val="21"/>
                <w:highlight w:val="none"/>
              </w:rPr>
            </w:pPr>
          </w:p>
        </w:tc>
      </w:tr>
      <w:tr w14:paraId="3F79FA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03" w:hRule="atLeast"/>
          <w:jc w:val="center"/>
        </w:trPr>
        <w:tc>
          <w:tcPr>
            <w:tcW w:w="9301" w:type="dxa"/>
            <w:gridSpan w:val="5"/>
            <w:tcBorders>
              <w:top w:val="single" w:color="000000" w:sz="4" w:space="0"/>
              <w:left w:val="single" w:color="000000" w:sz="8" w:space="0"/>
              <w:bottom w:val="single" w:color="000000" w:sz="8" w:space="0"/>
              <w:right w:val="single" w:color="000000" w:sz="8" w:space="0"/>
            </w:tcBorders>
            <w:shd w:val="clear" w:color="auto" w:fill="auto"/>
            <w:noWrap w:val="0"/>
            <w:tcMar>
              <w:top w:w="80" w:type="dxa"/>
              <w:left w:w="80" w:type="dxa"/>
              <w:bottom w:w="80" w:type="dxa"/>
              <w:right w:w="80" w:type="dxa"/>
            </w:tcMar>
            <w:vAlign w:val="center"/>
          </w:tcPr>
          <w:p w14:paraId="3D7B10CA">
            <w:pPr>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一旦我单位中标</w:t>
            </w:r>
            <w:r>
              <w:rPr>
                <w:rFonts w:hint="eastAsia" w:ascii="宋体" w:hAnsi="宋体" w:eastAsia="宋体" w:cs="宋体"/>
                <w:color w:val="auto"/>
                <w:szCs w:val="21"/>
                <w:highlight w:val="none"/>
                <w:lang w:val="zh-TW"/>
              </w:rPr>
              <w:t>，</w:t>
            </w:r>
            <w:r>
              <w:rPr>
                <w:rFonts w:hint="eastAsia" w:ascii="宋体" w:hAnsi="宋体" w:eastAsia="宋体" w:cs="宋体"/>
                <w:color w:val="auto"/>
                <w:szCs w:val="21"/>
                <w:highlight w:val="none"/>
                <w:lang w:val="zh-TW" w:eastAsia="zh-TW"/>
              </w:rPr>
              <w:t>将实行项目团队负责制，我方保证并配备上述团队。我方保证上述填报内容真实。</w:t>
            </w:r>
          </w:p>
          <w:p w14:paraId="607050E9">
            <w:pPr>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TW" w:eastAsia="zh-TW"/>
              </w:rPr>
              <w:t>乙方团队配合项目需求：团队主要执行人员每周至少参加一次项目现场例会，</w:t>
            </w:r>
            <w:r>
              <w:rPr>
                <w:rFonts w:hint="eastAsia" w:ascii="宋体" w:hAnsi="宋体" w:eastAsia="宋体" w:cs="宋体"/>
                <w:color w:val="auto"/>
                <w:sz w:val="21"/>
                <w:szCs w:val="21"/>
                <w:highlight w:val="none"/>
                <w:u w:color="000000"/>
              </w:rPr>
              <w:t>在服务期间需要驻场一名专职策划（非AE），</w:t>
            </w:r>
            <w:r>
              <w:rPr>
                <w:rFonts w:hint="eastAsia" w:ascii="宋体" w:hAnsi="宋体" w:eastAsia="宋体" w:cs="宋体"/>
                <w:color w:val="auto"/>
                <w:sz w:val="21"/>
                <w:szCs w:val="21"/>
                <w:highlight w:val="none"/>
                <w:u w:color="000000"/>
                <w:lang w:val="zh-TW" w:eastAsia="zh-TW"/>
              </w:rPr>
              <w:t>另在开盘、加推、售出、公开等重要营销节点提供</w:t>
            </w:r>
            <w:r>
              <w:rPr>
                <w:rFonts w:hint="eastAsia" w:ascii="宋体" w:hAnsi="宋体" w:eastAsia="宋体" w:cs="宋体"/>
                <w:color w:val="auto"/>
                <w:sz w:val="21"/>
                <w:szCs w:val="21"/>
                <w:highlight w:val="none"/>
                <w:u w:color="000000"/>
              </w:rPr>
              <w:t>设计</w:t>
            </w:r>
            <w:r>
              <w:rPr>
                <w:rFonts w:hint="eastAsia" w:ascii="宋体" w:hAnsi="宋体" w:eastAsia="宋体" w:cs="宋体"/>
                <w:color w:val="auto"/>
                <w:sz w:val="21"/>
                <w:szCs w:val="21"/>
                <w:highlight w:val="none"/>
                <w:u w:color="000000"/>
                <w:lang w:val="zh-TW" w:eastAsia="zh-TW"/>
              </w:rPr>
              <w:t>驻场服务，驻场费用包含在每月服务费中，甲方不另支付，具体驻场时间由双方在相应节点前协商确定。</w:t>
            </w:r>
          </w:p>
        </w:tc>
      </w:tr>
    </w:tbl>
    <w:p w14:paraId="52DF04CE">
      <w:pPr>
        <w:shd w:val="clear" w:color="auto" w:fill="auto"/>
        <w:rPr>
          <w:rFonts w:hint="eastAsia" w:ascii="宋体" w:hAnsi="宋体" w:eastAsia="宋体" w:cs="宋体"/>
          <w:color w:val="auto"/>
          <w:szCs w:val="21"/>
          <w:highlight w:val="none"/>
        </w:rPr>
      </w:pPr>
    </w:p>
    <w:p w14:paraId="69254C3E">
      <w:pPr>
        <w:shd w:val="clear" w:color="auto" w:fill="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签字或盖章</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w:t>
      </w:r>
    </w:p>
    <w:p w14:paraId="5E01E326">
      <w:pPr>
        <w:shd w:val="clear" w:color="auto" w:fill="auto"/>
        <w:spacing w:line="360" w:lineRule="auto"/>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日期：     年   月   日</w:t>
      </w:r>
    </w:p>
    <w:p w14:paraId="05E2EE0A">
      <w:pPr>
        <w:spacing w:afterLines="100" w:line="360" w:lineRule="auto"/>
        <w:jc w:val="center"/>
        <w:rPr>
          <w:rFonts w:hint="eastAsia" w:ascii="宋体" w:hAnsi="宋体" w:eastAsia="宋体" w:cs="宋体"/>
          <w:color w:val="auto"/>
          <w:szCs w:val="21"/>
          <w:highlight w:val="none"/>
        </w:rPr>
      </w:pPr>
    </w:p>
    <w:p w14:paraId="5A51964F">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3EFA7A7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技术参数响应及偏离表</w:t>
      </w:r>
    </w:p>
    <w:p w14:paraId="3FA69738">
      <w:pPr>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622"/>
        <w:gridCol w:w="2622"/>
        <w:gridCol w:w="1244"/>
        <w:gridCol w:w="1102"/>
      </w:tblGrid>
      <w:tr w14:paraId="5C64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3" w:type="dxa"/>
            <w:tcBorders>
              <w:top w:val="single" w:color="auto" w:sz="4" w:space="0"/>
              <w:left w:val="single" w:color="auto" w:sz="4" w:space="0"/>
              <w:bottom w:val="single" w:color="auto" w:sz="4" w:space="0"/>
              <w:right w:val="single" w:color="auto" w:sz="4" w:space="0"/>
            </w:tcBorders>
            <w:noWrap w:val="0"/>
            <w:vAlign w:val="center"/>
          </w:tcPr>
          <w:p w14:paraId="6A54F9AC">
            <w:pPr>
              <w:shd w:val="clear" w:color="auto" w:fill="auto"/>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556141CF">
            <w:pPr>
              <w:shd w:val="clear" w:color="auto" w:fill="auto"/>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招标要求</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3B57D05C">
            <w:pPr>
              <w:shd w:val="clear" w:color="auto" w:fill="auto"/>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投标响应</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916B8BD">
            <w:pPr>
              <w:shd w:val="clear" w:color="auto" w:fill="auto"/>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超出、符合或偏离</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AB0875F">
            <w:pPr>
              <w:shd w:val="clear" w:color="auto" w:fill="auto"/>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tc>
      </w:tr>
      <w:tr w14:paraId="0D02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5198FD1E">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D19FA68">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75C96B9">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0BFC806">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081EC075">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r>
      <w:tr w14:paraId="3225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7304BA3F">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16A6B4EA">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43EC4415">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C074D75">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03D82796">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r>
      <w:tr w14:paraId="22DF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482C6727">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757E6EC">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2A79795">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033DFF2">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60D5BA36">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r>
      <w:tr w14:paraId="7CD0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68940F18">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0A2518C">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84C7261">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F2E7153">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1D797869">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r>
      <w:tr w14:paraId="70DD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31AB5CCA">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AF0804A">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259DEDF2">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E09C55C">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0CFC0C0E">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r>
      <w:tr w14:paraId="7C09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2AEF6B74">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22F324E9">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002EED9">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7C40F88">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7D7EF420">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r>
      <w:tr w14:paraId="16C2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75DE6178">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4B20495">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158589A8">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9FF2B31">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44F84391">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r>
      <w:tr w14:paraId="2DB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6F157A5B">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B1F14BB">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77C8C41">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BF57FF2">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40A2EB1E">
            <w:pPr>
              <w:shd w:val="clear" w:color="auto" w:fill="auto"/>
              <w:adjustRightInd w:val="0"/>
              <w:snapToGrid w:val="0"/>
              <w:spacing w:after="200" w:line="220" w:lineRule="atLeast"/>
              <w:jc w:val="center"/>
              <w:rPr>
                <w:rFonts w:hint="eastAsia" w:ascii="宋体" w:hAnsi="宋体" w:eastAsia="宋体" w:cs="宋体"/>
                <w:color w:val="auto"/>
                <w:sz w:val="24"/>
                <w:szCs w:val="24"/>
                <w:highlight w:val="none"/>
              </w:rPr>
            </w:pPr>
          </w:p>
        </w:tc>
      </w:tr>
    </w:tbl>
    <w:p w14:paraId="542C1969">
      <w:pPr>
        <w:shd w:val="clear" w:color="auto" w:fill="auto"/>
        <w:rPr>
          <w:rFonts w:hint="eastAsia" w:ascii="宋体" w:hAnsi="宋体" w:eastAsia="宋体" w:cs="宋体"/>
          <w:color w:val="auto"/>
          <w:szCs w:val="21"/>
          <w:highlight w:val="none"/>
        </w:rPr>
      </w:pPr>
    </w:p>
    <w:p w14:paraId="38DE2A45">
      <w:pPr>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签字或盖章</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w:t>
      </w:r>
    </w:p>
    <w:p w14:paraId="6E5C9C38">
      <w:pPr>
        <w:shd w:val="clear" w:color="auto" w:fill="auto"/>
        <w:spacing w:line="360" w:lineRule="auto"/>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日期：     年   月   日</w:t>
      </w:r>
    </w:p>
    <w:p w14:paraId="2F7D9AB0">
      <w:pPr>
        <w:shd w:val="clear" w:color="auto" w:fill="auto"/>
        <w:rPr>
          <w:rFonts w:hint="eastAsia" w:ascii="宋体" w:hAnsi="宋体" w:eastAsia="宋体" w:cs="宋体"/>
          <w:color w:val="auto"/>
          <w:kern w:val="0"/>
          <w:szCs w:val="21"/>
          <w:highlight w:val="none"/>
        </w:rPr>
      </w:pPr>
    </w:p>
    <w:p w14:paraId="1F9D0265">
      <w:pPr>
        <w:shd w:val="clear" w:color="auto" w:fill="auto"/>
        <w:rPr>
          <w:rFonts w:hint="eastAsia" w:ascii="宋体" w:hAnsi="宋体" w:eastAsia="宋体" w:cs="宋体"/>
          <w:color w:val="auto"/>
          <w:szCs w:val="21"/>
          <w:highlight w:val="none"/>
        </w:rPr>
      </w:pPr>
    </w:p>
    <w:p w14:paraId="777E9B08">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注：1、按照基本技术要求详细填列。</w:t>
      </w:r>
    </w:p>
    <w:p w14:paraId="3AA751FD">
      <w:pPr>
        <w:shd w:val="clear" w:color="auto" w:fill="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2、行数不够，可自行添加。</w:t>
      </w:r>
    </w:p>
    <w:p w14:paraId="33D5A578">
      <w:pPr>
        <w:spacing w:line="460" w:lineRule="exact"/>
        <w:rPr>
          <w:rFonts w:hint="eastAsia" w:ascii="宋体" w:hAnsi="宋体" w:eastAsia="宋体" w:cs="宋体"/>
          <w:bCs/>
          <w:color w:val="auto"/>
          <w:sz w:val="24"/>
          <w:highlight w:val="none"/>
        </w:rPr>
      </w:pPr>
    </w:p>
    <w:p w14:paraId="1BC9A6CA">
      <w:pPr>
        <w:spacing w:afterLines="10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、商务条款响应及偏离表</w:t>
      </w:r>
    </w:p>
    <w:p w14:paraId="00646C27">
      <w:pPr>
        <w:spacing w:afterLines="1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tbl>
      <w:tblPr>
        <w:tblStyle w:val="3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88"/>
        <w:gridCol w:w="3120"/>
        <w:gridCol w:w="1454"/>
        <w:gridCol w:w="3488"/>
      </w:tblGrid>
      <w:tr w14:paraId="31713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7ECD1B31">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1583" w:type="pct"/>
            <w:tcBorders>
              <w:top w:val="single" w:color="auto" w:sz="4" w:space="0"/>
              <w:left w:val="single" w:color="auto" w:sz="4" w:space="0"/>
              <w:bottom w:val="single" w:color="auto" w:sz="4" w:space="0"/>
              <w:right w:val="single" w:color="auto" w:sz="4" w:space="0"/>
            </w:tcBorders>
            <w:vAlign w:val="center"/>
          </w:tcPr>
          <w:p w14:paraId="7A28E388">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738" w:type="pct"/>
            <w:tcBorders>
              <w:top w:val="single" w:color="auto" w:sz="4" w:space="0"/>
              <w:left w:val="single" w:color="auto" w:sz="4" w:space="0"/>
              <w:bottom w:val="single" w:color="auto" w:sz="4" w:space="0"/>
              <w:right w:val="single" w:color="auto" w:sz="4" w:space="0"/>
            </w:tcBorders>
            <w:vAlign w:val="center"/>
          </w:tcPr>
          <w:p w14:paraId="2CE0E8B1">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1770" w:type="pct"/>
            <w:tcBorders>
              <w:top w:val="single" w:color="auto" w:sz="4" w:space="0"/>
              <w:left w:val="single" w:color="auto" w:sz="4" w:space="0"/>
              <w:bottom w:val="single" w:color="auto" w:sz="4" w:space="0"/>
              <w:right w:val="single" w:color="auto" w:sz="4" w:space="0"/>
            </w:tcBorders>
            <w:vAlign w:val="center"/>
          </w:tcPr>
          <w:p w14:paraId="2957DB94">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0C895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2D119576">
            <w:pPr>
              <w:shd w:val="clear" w:color="auto" w:fill="auto"/>
              <w:adjustRightInd w:val="0"/>
              <w:snapToGrid w:val="0"/>
              <w:spacing w:before="156"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1583" w:type="pct"/>
            <w:tcBorders>
              <w:top w:val="single" w:color="auto" w:sz="4" w:space="0"/>
              <w:left w:val="single" w:color="auto" w:sz="4" w:space="0"/>
              <w:bottom w:val="single" w:color="auto" w:sz="4" w:space="0"/>
              <w:right w:val="single" w:color="auto" w:sz="4" w:space="0"/>
            </w:tcBorders>
            <w:vAlign w:val="center"/>
          </w:tcPr>
          <w:p w14:paraId="29F057E0">
            <w:pPr>
              <w:adjustRightInd w:val="0"/>
              <w:snapToGrid w:val="0"/>
              <w:spacing w:beforeLines="50" w:after="200" w:line="220" w:lineRule="atLeast"/>
              <w:jc w:val="center"/>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E8FC420">
            <w:pPr>
              <w:adjustRightInd w:val="0"/>
              <w:snapToGrid w:val="0"/>
              <w:spacing w:beforeLines="50" w:after="200" w:line="220" w:lineRule="atLeast"/>
              <w:jc w:val="center"/>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7C9F3687">
            <w:pPr>
              <w:adjustRightInd w:val="0"/>
              <w:snapToGrid w:val="0"/>
              <w:spacing w:beforeLines="50" w:after="200" w:line="220" w:lineRule="atLeast"/>
              <w:jc w:val="center"/>
              <w:rPr>
                <w:rFonts w:hint="eastAsia" w:ascii="宋体" w:hAnsi="宋体" w:eastAsia="宋体" w:cs="宋体"/>
                <w:color w:val="auto"/>
                <w:szCs w:val="21"/>
                <w:highlight w:val="none"/>
              </w:rPr>
            </w:pPr>
          </w:p>
        </w:tc>
      </w:tr>
      <w:tr w14:paraId="273D4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430C2AA6">
            <w:pPr>
              <w:shd w:val="clear" w:color="auto" w:fill="auto"/>
              <w:adjustRightInd w:val="0"/>
              <w:snapToGrid w:val="0"/>
              <w:spacing w:before="156"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服务要求</w:t>
            </w:r>
          </w:p>
        </w:tc>
        <w:tc>
          <w:tcPr>
            <w:tcW w:w="1583" w:type="pct"/>
            <w:tcBorders>
              <w:top w:val="single" w:color="auto" w:sz="4" w:space="0"/>
              <w:left w:val="single" w:color="auto" w:sz="4" w:space="0"/>
              <w:bottom w:val="single" w:color="auto" w:sz="4" w:space="0"/>
              <w:right w:val="single" w:color="auto" w:sz="4" w:space="0"/>
            </w:tcBorders>
            <w:vAlign w:val="center"/>
          </w:tcPr>
          <w:p w14:paraId="2F39248A">
            <w:pPr>
              <w:adjustRightInd w:val="0"/>
              <w:snapToGrid w:val="0"/>
              <w:spacing w:beforeLines="50" w:after="200" w:line="220" w:lineRule="atLeast"/>
              <w:jc w:val="center"/>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7E0BD585">
            <w:pPr>
              <w:adjustRightInd w:val="0"/>
              <w:snapToGrid w:val="0"/>
              <w:spacing w:beforeLines="50" w:after="200" w:line="220" w:lineRule="atLeast"/>
              <w:jc w:val="center"/>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497C4125">
            <w:pPr>
              <w:adjustRightInd w:val="0"/>
              <w:snapToGrid w:val="0"/>
              <w:spacing w:beforeLines="50" w:after="200" w:line="220" w:lineRule="atLeast"/>
              <w:jc w:val="center"/>
              <w:rPr>
                <w:rFonts w:hint="eastAsia" w:ascii="宋体" w:hAnsi="宋体" w:eastAsia="宋体" w:cs="宋体"/>
                <w:color w:val="auto"/>
                <w:szCs w:val="21"/>
                <w:highlight w:val="none"/>
              </w:rPr>
            </w:pPr>
          </w:p>
        </w:tc>
      </w:tr>
      <w:tr w14:paraId="7BE17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7E12CF90">
            <w:pPr>
              <w:shd w:val="clear" w:color="auto" w:fill="auto"/>
              <w:adjustRightInd w:val="0"/>
              <w:snapToGrid w:val="0"/>
              <w:spacing w:before="156"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1583" w:type="pct"/>
            <w:tcBorders>
              <w:top w:val="single" w:color="auto" w:sz="4" w:space="0"/>
              <w:left w:val="single" w:color="auto" w:sz="4" w:space="0"/>
              <w:bottom w:val="single" w:color="auto" w:sz="4" w:space="0"/>
              <w:right w:val="single" w:color="auto" w:sz="4" w:space="0"/>
            </w:tcBorders>
            <w:vAlign w:val="center"/>
          </w:tcPr>
          <w:p w14:paraId="2F7C8291">
            <w:pPr>
              <w:spacing w:beforeLines="50" w:line="220" w:lineRule="atLeast"/>
              <w:jc w:val="center"/>
              <w:rPr>
                <w:rFonts w:hint="eastAsia" w:ascii="宋体" w:hAnsi="宋体" w:eastAsia="宋体" w:cs="宋体"/>
                <w:color w:val="auto"/>
                <w:szCs w:val="21"/>
                <w:highlight w:val="none"/>
              </w:rPr>
            </w:pPr>
          </w:p>
          <w:p w14:paraId="5E52E9AD">
            <w:pPr>
              <w:adjustRightInd w:val="0"/>
              <w:snapToGrid w:val="0"/>
              <w:spacing w:beforeLines="50" w:after="200" w:line="220" w:lineRule="atLeast"/>
              <w:jc w:val="center"/>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43CEB36">
            <w:pPr>
              <w:adjustRightInd w:val="0"/>
              <w:snapToGrid w:val="0"/>
              <w:spacing w:beforeLines="50" w:after="200" w:line="220" w:lineRule="atLeast"/>
              <w:ind w:left="43"/>
              <w:jc w:val="center"/>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1A6E62EF">
            <w:pPr>
              <w:adjustRightInd w:val="0"/>
              <w:snapToGrid w:val="0"/>
              <w:spacing w:beforeLines="50" w:after="200" w:line="220" w:lineRule="atLeast"/>
              <w:ind w:left="43"/>
              <w:jc w:val="center"/>
              <w:rPr>
                <w:rFonts w:hint="eastAsia" w:ascii="宋体" w:hAnsi="宋体" w:eastAsia="宋体" w:cs="宋体"/>
                <w:color w:val="auto"/>
                <w:szCs w:val="21"/>
                <w:highlight w:val="none"/>
              </w:rPr>
            </w:pPr>
          </w:p>
        </w:tc>
      </w:tr>
      <w:tr w14:paraId="23F1F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326153DE">
            <w:pPr>
              <w:shd w:val="clear" w:color="auto" w:fill="auto"/>
              <w:adjustRightInd w:val="0"/>
              <w:snapToGrid w:val="0"/>
              <w:spacing w:before="156"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1583" w:type="pct"/>
            <w:tcBorders>
              <w:top w:val="single" w:color="auto" w:sz="4" w:space="0"/>
              <w:left w:val="single" w:color="auto" w:sz="4" w:space="0"/>
              <w:bottom w:val="single" w:color="auto" w:sz="4" w:space="0"/>
              <w:right w:val="single" w:color="auto" w:sz="4" w:space="0"/>
            </w:tcBorders>
            <w:vAlign w:val="center"/>
          </w:tcPr>
          <w:p w14:paraId="268186CA">
            <w:pPr>
              <w:adjustRightInd w:val="0"/>
              <w:snapToGrid w:val="0"/>
              <w:spacing w:beforeLines="50" w:after="200" w:line="220" w:lineRule="atLeast"/>
              <w:jc w:val="center"/>
              <w:rPr>
                <w:rFonts w:hint="eastAsia" w:ascii="宋体" w:hAnsi="宋体" w:eastAsia="宋体"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8E29D0F">
            <w:pPr>
              <w:adjustRightInd w:val="0"/>
              <w:snapToGrid w:val="0"/>
              <w:spacing w:beforeLines="50" w:after="200" w:line="220" w:lineRule="atLeast"/>
              <w:jc w:val="center"/>
              <w:rPr>
                <w:rFonts w:hint="eastAsia" w:ascii="宋体" w:hAnsi="宋体" w:eastAsia="宋体"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04116129">
            <w:pPr>
              <w:adjustRightInd w:val="0"/>
              <w:snapToGrid w:val="0"/>
              <w:spacing w:beforeLines="50" w:after="200" w:line="220" w:lineRule="atLeast"/>
              <w:jc w:val="center"/>
              <w:rPr>
                <w:rFonts w:hint="eastAsia" w:ascii="宋体" w:hAnsi="宋体" w:eastAsia="宋体" w:cs="宋体"/>
                <w:color w:val="auto"/>
                <w:sz w:val="24"/>
                <w:szCs w:val="20"/>
                <w:highlight w:val="none"/>
              </w:rPr>
            </w:pPr>
          </w:p>
        </w:tc>
      </w:tr>
      <w:tr w14:paraId="5D561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5636922C">
            <w:pPr>
              <w:shd w:val="clear" w:color="auto" w:fill="auto"/>
              <w:adjustRightInd w:val="0"/>
              <w:snapToGrid w:val="0"/>
              <w:spacing w:before="156"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投标货币</w:t>
            </w:r>
          </w:p>
        </w:tc>
        <w:tc>
          <w:tcPr>
            <w:tcW w:w="1583" w:type="pct"/>
            <w:tcBorders>
              <w:top w:val="single" w:color="auto" w:sz="4" w:space="0"/>
              <w:left w:val="single" w:color="auto" w:sz="4" w:space="0"/>
              <w:bottom w:val="single" w:color="auto" w:sz="4" w:space="0"/>
              <w:right w:val="single" w:color="auto" w:sz="4" w:space="0"/>
            </w:tcBorders>
            <w:vAlign w:val="center"/>
          </w:tcPr>
          <w:p w14:paraId="38C1579A">
            <w:pPr>
              <w:spacing w:beforeLines="50" w:line="220" w:lineRule="atLeast"/>
              <w:jc w:val="center"/>
              <w:rPr>
                <w:rFonts w:hint="eastAsia" w:ascii="宋体" w:hAnsi="宋体" w:eastAsia="宋体" w:cs="宋体"/>
                <w:color w:val="auto"/>
                <w:sz w:val="24"/>
                <w:szCs w:val="20"/>
                <w:highlight w:val="none"/>
              </w:rPr>
            </w:pPr>
          </w:p>
          <w:p w14:paraId="38D0DE48">
            <w:pPr>
              <w:adjustRightInd w:val="0"/>
              <w:snapToGrid w:val="0"/>
              <w:spacing w:beforeLines="50" w:after="200" w:line="220" w:lineRule="atLeast"/>
              <w:jc w:val="center"/>
              <w:rPr>
                <w:rFonts w:hint="eastAsia" w:ascii="宋体" w:hAnsi="宋体" w:eastAsia="宋体"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5499EDF8">
            <w:pPr>
              <w:adjustRightInd w:val="0"/>
              <w:snapToGrid w:val="0"/>
              <w:spacing w:beforeLines="50" w:after="200" w:line="220" w:lineRule="atLeast"/>
              <w:jc w:val="center"/>
              <w:rPr>
                <w:rFonts w:hint="eastAsia" w:ascii="宋体" w:hAnsi="宋体" w:eastAsia="宋体"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2123E9FE">
            <w:pPr>
              <w:adjustRightInd w:val="0"/>
              <w:snapToGrid w:val="0"/>
              <w:spacing w:beforeLines="50" w:after="200" w:line="220" w:lineRule="atLeast"/>
              <w:jc w:val="center"/>
              <w:rPr>
                <w:rFonts w:hint="eastAsia" w:ascii="宋体" w:hAnsi="宋体" w:eastAsia="宋体" w:cs="宋体"/>
                <w:color w:val="auto"/>
                <w:sz w:val="24"/>
                <w:szCs w:val="20"/>
                <w:highlight w:val="none"/>
              </w:rPr>
            </w:pPr>
          </w:p>
        </w:tc>
      </w:tr>
      <w:tr w14:paraId="4FE08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7CF7466E">
            <w:pPr>
              <w:shd w:val="clear" w:color="auto" w:fill="auto"/>
              <w:adjustRightInd w:val="0"/>
              <w:snapToGrid w:val="0"/>
              <w:spacing w:before="156"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583" w:type="pct"/>
            <w:tcBorders>
              <w:top w:val="single" w:color="auto" w:sz="4" w:space="0"/>
              <w:left w:val="single" w:color="auto" w:sz="4" w:space="0"/>
              <w:bottom w:val="single" w:color="auto" w:sz="4" w:space="0"/>
              <w:right w:val="single" w:color="auto" w:sz="4" w:space="0"/>
            </w:tcBorders>
            <w:vAlign w:val="center"/>
          </w:tcPr>
          <w:p w14:paraId="65FA1965">
            <w:pPr>
              <w:adjustRightInd w:val="0"/>
              <w:snapToGrid w:val="0"/>
              <w:spacing w:beforeLines="50" w:after="200" w:line="220" w:lineRule="atLeast"/>
              <w:jc w:val="center"/>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0FB4B3C2">
            <w:pPr>
              <w:adjustRightInd w:val="0"/>
              <w:snapToGrid w:val="0"/>
              <w:spacing w:beforeLines="50" w:after="200" w:line="220" w:lineRule="atLeast"/>
              <w:jc w:val="center"/>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2723ABE3">
            <w:pPr>
              <w:adjustRightInd w:val="0"/>
              <w:snapToGrid w:val="0"/>
              <w:spacing w:beforeLines="50" w:after="200" w:line="220" w:lineRule="atLeast"/>
              <w:jc w:val="center"/>
              <w:rPr>
                <w:rFonts w:hint="eastAsia" w:ascii="宋体" w:hAnsi="宋体" w:eastAsia="宋体" w:cs="宋体"/>
                <w:color w:val="auto"/>
                <w:szCs w:val="21"/>
                <w:highlight w:val="none"/>
              </w:rPr>
            </w:pPr>
          </w:p>
        </w:tc>
      </w:tr>
      <w:tr w14:paraId="3B566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7" w:type="pct"/>
            <w:tcBorders>
              <w:top w:val="single" w:color="auto" w:sz="4" w:space="0"/>
              <w:left w:val="single" w:color="auto" w:sz="4" w:space="0"/>
              <w:bottom w:val="single" w:color="auto" w:sz="4" w:space="0"/>
              <w:right w:val="single" w:color="auto" w:sz="4" w:space="0"/>
            </w:tcBorders>
            <w:vAlign w:val="center"/>
          </w:tcPr>
          <w:p w14:paraId="5D884CB6">
            <w:pPr>
              <w:shd w:val="clear" w:color="auto" w:fill="auto"/>
              <w:adjustRightInd w:val="0"/>
              <w:snapToGrid w:val="0"/>
              <w:spacing w:before="156" w:beforeLines="50" w:after="200" w:line="22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583" w:type="pct"/>
            <w:tcBorders>
              <w:top w:val="single" w:color="auto" w:sz="4" w:space="0"/>
              <w:left w:val="single" w:color="auto" w:sz="4" w:space="0"/>
              <w:bottom w:val="single" w:color="auto" w:sz="4" w:space="0"/>
              <w:right w:val="single" w:color="auto" w:sz="4" w:space="0"/>
            </w:tcBorders>
            <w:vAlign w:val="center"/>
          </w:tcPr>
          <w:p w14:paraId="4F440E4C">
            <w:pPr>
              <w:adjustRightInd w:val="0"/>
              <w:snapToGrid w:val="0"/>
              <w:spacing w:beforeLines="50" w:after="200" w:line="220" w:lineRule="atLeast"/>
              <w:jc w:val="center"/>
              <w:rPr>
                <w:rFonts w:hint="eastAsia" w:ascii="宋体" w:hAnsi="宋体" w:eastAsia="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9BD2D15">
            <w:pPr>
              <w:adjustRightInd w:val="0"/>
              <w:snapToGrid w:val="0"/>
              <w:spacing w:beforeLines="50" w:after="200" w:line="220" w:lineRule="atLeast"/>
              <w:jc w:val="center"/>
              <w:rPr>
                <w:rFonts w:hint="eastAsia" w:ascii="宋体" w:hAnsi="宋体" w:eastAsia="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0EC86483">
            <w:pPr>
              <w:adjustRightInd w:val="0"/>
              <w:snapToGrid w:val="0"/>
              <w:spacing w:beforeLines="50" w:after="200" w:line="220" w:lineRule="atLeast"/>
              <w:jc w:val="center"/>
              <w:rPr>
                <w:rFonts w:hint="eastAsia" w:ascii="宋体" w:hAnsi="宋体" w:eastAsia="宋体" w:cs="宋体"/>
                <w:color w:val="auto"/>
                <w:szCs w:val="21"/>
                <w:highlight w:val="none"/>
              </w:rPr>
            </w:pPr>
          </w:p>
        </w:tc>
      </w:tr>
    </w:tbl>
    <w:p w14:paraId="272B27AE">
      <w:pPr>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签字或盖章</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w:t>
      </w:r>
    </w:p>
    <w:p w14:paraId="33A54035">
      <w:pPr>
        <w:shd w:val="clear" w:color="auto" w:fill="auto"/>
        <w:spacing w:line="360" w:lineRule="auto"/>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日期：     年   月   日</w:t>
      </w:r>
    </w:p>
    <w:p w14:paraId="3D344CF9">
      <w:pPr>
        <w:rPr>
          <w:rFonts w:hint="eastAsia" w:ascii="宋体" w:hAnsi="宋体" w:eastAsia="宋体" w:cs="宋体"/>
          <w:b/>
          <w:color w:val="auto"/>
          <w:kern w:val="2"/>
          <w:sz w:val="21"/>
          <w:szCs w:val="21"/>
          <w:highlight w:val="none"/>
          <w:lang w:val="en-US" w:eastAsia="zh-CN"/>
        </w:rPr>
      </w:pPr>
    </w:p>
    <w:p w14:paraId="034DD9C8">
      <w:pPr>
        <w:rPr>
          <w:rFonts w:hint="eastAsia" w:ascii="宋体" w:hAnsi="宋体" w:eastAsia="宋体" w:cs="宋体"/>
          <w:b/>
          <w:color w:val="auto"/>
          <w:kern w:val="2"/>
          <w:sz w:val="21"/>
          <w:szCs w:val="21"/>
          <w:highlight w:val="none"/>
          <w:lang w:val="en-US" w:eastAsia="zh-CN"/>
        </w:rPr>
      </w:pPr>
    </w:p>
    <w:p w14:paraId="62F17404">
      <w:pPr>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br w:type="page"/>
      </w:r>
    </w:p>
    <w:p w14:paraId="4D2A359A">
      <w:pPr>
        <w:spacing w:afterLines="100"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八、服务方案</w:t>
      </w:r>
    </w:p>
    <w:p w14:paraId="32CA2651">
      <w:pPr>
        <w:numPr>
          <w:ilvl w:val="0"/>
          <w:numId w:val="0"/>
        </w:numPr>
        <w:shd w:val="clear" w:color="auto" w:fill="auto"/>
        <w:jc w:val="center"/>
        <w:rPr>
          <w:rFonts w:hint="default"/>
          <w:color w:val="auto"/>
          <w:highlight w:val="none"/>
          <w:lang w:val="en-US" w:eastAsia="zh-CN"/>
        </w:rPr>
      </w:pPr>
      <w:r>
        <w:rPr>
          <w:rFonts w:hint="eastAsia"/>
          <w:color w:val="auto"/>
          <w:highlight w:val="none"/>
          <w:lang w:val="en-US" w:eastAsia="zh-CN"/>
        </w:rPr>
        <w:t>（投标人自拟）</w:t>
      </w:r>
    </w:p>
    <w:p w14:paraId="607A0F0F">
      <w:pPr>
        <w:rPr>
          <w:rFonts w:hint="eastAsia" w:ascii="宋体" w:hAnsi="宋体" w:eastAsia="宋体" w:cs="宋体"/>
          <w:color w:val="auto"/>
          <w:highlight w:val="none"/>
        </w:rPr>
      </w:pPr>
    </w:p>
    <w:p w14:paraId="713F7CF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A67816">
      <w:pPr>
        <w:widowControl/>
        <w:jc w:val="left"/>
        <w:rPr>
          <w:rFonts w:hint="eastAsia" w:ascii="宋体" w:hAnsi="宋体" w:eastAsia="宋体" w:cs="宋体"/>
          <w:color w:val="auto"/>
          <w:highlight w:val="none"/>
        </w:rPr>
      </w:pPr>
    </w:p>
    <w:p w14:paraId="4307E13A">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供应商参加投标确认函</w:t>
      </w:r>
    </w:p>
    <w:p w14:paraId="61002F40">
      <w:pPr>
        <w:rPr>
          <w:rFonts w:hint="eastAsia" w:ascii="宋体" w:hAnsi="宋体" w:eastAsia="宋体" w:cs="宋体"/>
          <w:color w:val="auto"/>
          <w:sz w:val="24"/>
          <w:highlight w:val="none"/>
        </w:rPr>
      </w:pPr>
    </w:p>
    <w:p w14:paraId="587C29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江苏时代投资咨询有限公司：</w:t>
      </w:r>
    </w:p>
    <w:p w14:paraId="27BB1BC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本单位将参加贵公司于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日开标的采购编号为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项目的投标。本单位已在网站成功下载标书，特发函确认。</w:t>
      </w:r>
    </w:p>
    <w:p w14:paraId="356896E1">
      <w:pPr>
        <w:spacing w:line="360" w:lineRule="auto"/>
        <w:ind w:left="2730" w:hanging="2730" w:hangingChars="13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（单位公章）</w:t>
      </w:r>
    </w:p>
    <w:p w14:paraId="09E244C2">
      <w:pPr>
        <w:pBdr>
          <w:bottom w:val="single" w:color="auto" w:sz="6" w:space="1"/>
        </w:pBdr>
        <w:spacing w:line="360" w:lineRule="auto"/>
        <w:ind w:left="3465" w:hanging="3465" w:hangingChars="16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w:t>
      </w:r>
    </w:p>
    <w:p w14:paraId="094B9F7B">
      <w:pPr>
        <w:spacing w:line="360" w:lineRule="auto"/>
        <w:ind w:left="3465" w:hanging="3465" w:hangingChars="1650"/>
        <w:rPr>
          <w:rFonts w:hint="eastAsia" w:ascii="宋体" w:hAnsi="宋体" w:eastAsia="宋体" w:cs="宋体"/>
          <w:color w:val="auto"/>
          <w:szCs w:val="21"/>
          <w:highlight w:val="none"/>
        </w:rPr>
      </w:pPr>
    </w:p>
    <w:p w14:paraId="1A59ED8C">
      <w:pPr>
        <w:spacing w:line="360" w:lineRule="auto"/>
        <w:ind w:left="3465" w:hanging="3465" w:hangingChars="1650"/>
        <w:rPr>
          <w:rFonts w:hint="eastAsia" w:ascii="宋体" w:hAnsi="宋体" w:eastAsia="宋体" w:cs="宋体"/>
          <w:color w:val="auto"/>
          <w:szCs w:val="21"/>
          <w:highlight w:val="none"/>
        </w:rPr>
      </w:pPr>
    </w:p>
    <w:p w14:paraId="6BA2AB57">
      <w:pPr>
        <w:spacing w:line="360" w:lineRule="auto"/>
        <w:ind w:left="3465" w:hanging="3465" w:hangingChars="1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145299BD">
      <w:pPr>
        <w:spacing w:line="360" w:lineRule="auto"/>
        <w:ind w:left="3479" w:hanging="3479" w:hangingChars="16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供应商联系表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2619"/>
        <w:gridCol w:w="2619"/>
        <w:gridCol w:w="2288"/>
      </w:tblGrid>
      <w:tr w14:paraId="2A3B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4F6EB5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tc>
        <w:tc>
          <w:tcPr>
            <w:tcW w:w="3819" w:type="pct"/>
            <w:gridSpan w:val="3"/>
          </w:tcPr>
          <w:p w14:paraId="630AD418">
            <w:pPr>
              <w:spacing w:line="360" w:lineRule="auto"/>
              <w:jc w:val="center"/>
              <w:rPr>
                <w:rFonts w:hint="eastAsia" w:ascii="宋体" w:hAnsi="宋体" w:eastAsia="宋体" w:cs="宋体"/>
                <w:color w:val="auto"/>
                <w:szCs w:val="21"/>
                <w:highlight w:val="none"/>
              </w:rPr>
            </w:pPr>
          </w:p>
        </w:tc>
      </w:tr>
      <w:tr w14:paraId="2B1C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35AAD5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3819" w:type="pct"/>
            <w:gridSpan w:val="3"/>
          </w:tcPr>
          <w:p w14:paraId="46221FC5">
            <w:pPr>
              <w:spacing w:line="360" w:lineRule="auto"/>
              <w:jc w:val="center"/>
              <w:rPr>
                <w:rFonts w:hint="eastAsia" w:ascii="宋体" w:hAnsi="宋体" w:eastAsia="宋体" w:cs="宋体"/>
                <w:color w:val="auto"/>
                <w:szCs w:val="21"/>
                <w:highlight w:val="none"/>
              </w:rPr>
            </w:pPr>
          </w:p>
        </w:tc>
      </w:tr>
      <w:tr w14:paraId="5EA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249867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1329" w:type="pct"/>
          </w:tcPr>
          <w:p w14:paraId="1BF74553">
            <w:pPr>
              <w:spacing w:line="360" w:lineRule="auto"/>
              <w:rPr>
                <w:rFonts w:hint="eastAsia" w:ascii="宋体" w:hAnsi="宋体" w:eastAsia="宋体" w:cs="宋体"/>
                <w:color w:val="auto"/>
                <w:szCs w:val="21"/>
                <w:highlight w:val="none"/>
              </w:rPr>
            </w:pPr>
          </w:p>
        </w:tc>
        <w:tc>
          <w:tcPr>
            <w:tcW w:w="1329" w:type="pct"/>
          </w:tcPr>
          <w:p w14:paraId="6D1D56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编</w:t>
            </w:r>
          </w:p>
        </w:tc>
        <w:tc>
          <w:tcPr>
            <w:tcW w:w="1161" w:type="pct"/>
          </w:tcPr>
          <w:p w14:paraId="2320A514">
            <w:pPr>
              <w:spacing w:line="360" w:lineRule="auto"/>
              <w:jc w:val="center"/>
              <w:rPr>
                <w:rFonts w:hint="eastAsia" w:ascii="宋体" w:hAnsi="宋体" w:eastAsia="宋体" w:cs="宋体"/>
                <w:color w:val="auto"/>
                <w:szCs w:val="21"/>
                <w:highlight w:val="none"/>
              </w:rPr>
            </w:pPr>
          </w:p>
        </w:tc>
      </w:tr>
      <w:tr w14:paraId="21A0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14:paraId="4A247E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单位电话</w:t>
            </w:r>
          </w:p>
        </w:tc>
        <w:tc>
          <w:tcPr>
            <w:tcW w:w="1329" w:type="pct"/>
          </w:tcPr>
          <w:p w14:paraId="19C77334">
            <w:pPr>
              <w:spacing w:line="360" w:lineRule="auto"/>
              <w:jc w:val="center"/>
              <w:rPr>
                <w:rFonts w:hint="eastAsia" w:ascii="宋体" w:hAnsi="宋体" w:eastAsia="宋体" w:cs="宋体"/>
                <w:color w:val="auto"/>
                <w:szCs w:val="21"/>
                <w:highlight w:val="none"/>
              </w:rPr>
            </w:pPr>
          </w:p>
        </w:tc>
        <w:tc>
          <w:tcPr>
            <w:tcW w:w="1329" w:type="pct"/>
          </w:tcPr>
          <w:p w14:paraId="188E700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传真号码</w:t>
            </w:r>
          </w:p>
        </w:tc>
        <w:tc>
          <w:tcPr>
            <w:tcW w:w="1161" w:type="pct"/>
          </w:tcPr>
          <w:p w14:paraId="28CDDAE8">
            <w:pPr>
              <w:spacing w:line="360" w:lineRule="auto"/>
              <w:jc w:val="center"/>
              <w:rPr>
                <w:rFonts w:hint="eastAsia" w:ascii="宋体" w:hAnsi="宋体" w:eastAsia="宋体" w:cs="宋体"/>
                <w:color w:val="auto"/>
                <w:szCs w:val="21"/>
                <w:highlight w:val="none"/>
              </w:rPr>
            </w:pPr>
          </w:p>
        </w:tc>
      </w:tr>
      <w:tr w14:paraId="5408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01236F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p>
        </w:tc>
        <w:tc>
          <w:tcPr>
            <w:tcW w:w="1329" w:type="pct"/>
          </w:tcPr>
          <w:p w14:paraId="1B376AFE">
            <w:pPr>
              <w:spacing w:line="360" w:lineRule="auto"/>
              <w:jc w:val="center"/>
              <w:rPr>
                <w:rFonts w:hint="eastAsia" w:ascii="宋体" w:hAnsi="宋体" w:eastAsia="宋体" w:cs="宋体"/>
                <w:color w:val="auto"/>
                <w:szCs w:val="21"/>
                <w:highlight w:val="none"/>
              </w:rPr>
            </w:pPr>
          </w:p>
        </w:tc>
        <w:tc>
          <w:tcPr>
            <w:tcW w:w="1329" w:type="pct"/>
          </w:tcPr>
          <w:p w14:paraId="41D8C49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箱</w:t>
            </w:r>
          </w:p>
        </w:tc>
        <w:tc>
          <w:tcPr>
            <w:tcW w:w="1161" w:type="pct"/>
          </w:tcPr>
          <w:p w14:paraId="207F033D">
            <w:pPr>
              <w:spacing w:line="360" w:lineRule="auto"/>
              <w:jc w:val="center"/>
              <w:rPr>
                <w:rFonts w:hint="eastAsia" w:ascii="宋体" w:hAnsi="宋体" w:eastAsia="宋体" w:cs="宋体"/>
                <w:color w:val="auto"/>
                <w:szCs w:val="21"/>
                <w:highlight w:val="none"/>
              </w:rPr>
            </w:pPr>
          </w:p>
        </w:tc>
      </w:tr>
      <w:tr w14:paraId="043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14:paraId="2434214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联系人电话</w:t>
            </w:r>
          </w:p>
        </w:tc>
        <w:tc>
          <w:tcPr>
            <w:tcW w:w="1329" w:type="pct"/>
          </w:tcPr>
          <w:p w14:paraId="22124D9B">
            <w:pPr>
              <w:spacing w:line="360" w:lineRule="auto"/>
              <w:jc w:val="center"/>
              <w:rPr>
                <w:rFonts w:hint="eastAsia" w:ascii="宋体" w:hAnsi="宋体" w:eastAsia="宋体" w:cs="宋体"/>
                <w:color w:val="auto"/>
                <w:szCs w:val="21"/>
                <w:highlight w:val="none"/>
              </w:rPr>
            </w:pPr>
          </w:p>
        </w:tc>
        <w:tc>
          <w:tcPr>
            <w:tcW w:w="1329" w:type="pct"/>
          </w:tcPr>
          <w:p w14:paraId="0FE0FE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联系人手机</w:t>
            </w:r>
          </w:p>
        </w:tc>
        <w:tc>
          <w:tcPr>
            <w:tcW w:w="1161" w:type="pct"/>
          </w:tcPr>
          <w:p w14:paraId="26E2F0AD">
            <w:pPr>
              <w:spacing w:line="360" w:lineRule="auto"/>
              <w:jc w:val="center"/>
              <w:rPr>
                <w:rFonts w:hint="eastAsia" w:ascii="宋体" w:hAnsi="宋体" w:eastAsia="宋体" w:cs="宋体"/>
                <w:color w:val="auto"/>
                <w:szCs w:val="21"/>
                <w:highlight w:val="none"/>
              </w:rPr>
            </w:pPr>
          </w:p>
        </w:tc>
      </w:tr>
      <w:tr w14:paraId="615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451F53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所投分包</w:t>
            </w:r>
          </w:p>
        </w:tc>
        <w:tc>
          <w:tcPr>
            <w:tcW w:w="3819" w:type="pct"/>
            <w:gridSpan w:val="3"/>
          </w:tcPr>
          <w:p w14:paraId="2C116A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342AB4E7">
      <w:pPr>
        <w:spacing w:beforeLines="10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9E761C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1、请准备参与本项目投标的供应商如实填写（以上信息均为必填内容）后邮件至采购代理机构（邮 箱：</w:t>
      </w:r>
      <w:bookmarkStart w:id="124" w:name="EBba9c9bd7b5a64bcfb0f2dcb71e0ea086"/>
      <w:r>
        <w:rPr>
          <w:rFonts w:hint="eastAsia" w:ascii="宋体" w:hAnsi="宋体" w:eastAsia="宋体" w:cs="宋体"/>
          <w:color w:val="auto"/>
          <w:szCs w:val="21"/>
          <w:highlight w:val="none"/>
        </w:rPr>
        <w:t>2535112693@qq.</w:t>
      </w:r>
      <w:bookmarkEnd w:id="124"/>
      <w:r>
        <w:rPr>
          <w:rFonts w:hint="eastAsia" w:ascii="宋体" w:hAnsi="宋体" w:eastAsia="宋体" w:cs="宋体"/>
          <w:color w:val="auto"/>
          <w:szCs w:val="21"/>
          <w:highlight w:val="none"/>
        </w:rPr>
        <w:t>com，电话：18652792880）。</w:t>
      </w:r>
    </w:p>
    <w:p w14:paraId="20613FB5">
      <w:pPr>
        <w:pStyle w:val="5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填写有误，造成以上信息资料的不实将由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承担责任。</w:t>
      </w:r>
    </w:p>
    <w:p w14:paraId="4044B193">
      <w:pPr>
        <w:rPr>
          <w:rFonts w:hint="eastAsia" w:ascii="宋体" w:hAnsi="宋体" w:eastAsia="宋体" w:cs="宋体"/>
          <w:color w:val="auto"/>
          <w:highlight w:val="none"/>
        </w:rPr>
      </w:pPr>
    </w:p>
    <w:bookmarkEnd w:id="125"/>
    <w:sectPr>
      <w:footerReference r:id="rId6" w:type="default"/>
      <w:pgSz w:w="11906" w:h="16838"/>
      <w:pgMar w:top="1440" w:right="1134" w:bottom="1440" w:left="1134" w:header="851" w:footer="850"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4F10F">
    <w:pPr>
      <w:pStyle w:val="23"/>
      <w:jc w:val="both"/>
    </w:pPr>
  </w:p>
  <w:p w14:paraId="7B84FA88">
    <w:pPr>
      <w:pStyle w:val="23"/>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9561">
    <w:pPr>
      <w:pStyle w:val="23"/>
      <w:jc w:val="both"/>
    </w:pPr>
  </w:p>
  <w:p w14:paraId="268B9F76">
    <w:pPr>
      <w:pStyle w:val="23"/>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A935">
    <w:pPr>
      <w:pStyle w:val="2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8A70D8">
                          <w:pPr>
                            <w:pStyle w:val="23"/>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8A70D8">
                    <w:pPr>
                      <w:pStyle w:val="23"/>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p w14:paraId="4B5CE781">
    <w:pPr>
      <w:pStyle w:val="23"/>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A3CA0">
    <w:pPr>
      <w:pStyle w:val="25"/>
      <w:pBdr>
        <w:bottom w:val="single" w:color="auto" w:sz="4" w:space="1"/>
      </w:pBdr>
    </w:pPr>
    <w:r>
      <w:rPr>
        <w:rFonts w:hint="eastAsia"/>
        <w:lang w:eastAsia="zh-CN"/>
      </w:rPr>
      <w:t>JSSDZX-2025125号</w:t>
    </w:r>
    <w:r>
      <w:rPr>
        <w:rFonts w:hint="eastAsia"/>
      </w:rPr>
      <w:t xml:space="preserve">                                                              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6A962"/>
    <w:multiLevelType w:val="singleLevel"/>
    <w:tmpl w:val="9F86A962"/>
    <w:lvl w:ilvl="0" w:tentative="0">
      <w:start w:val="1"/>
      <w:numFmt w:val="decimal"/>
      <w:suff w:val="nothing"/>
      <w:lvlText w:val="%1．"/>
      <w:lvlJc w:val="left"/>
      <w:pPr>
        <w:ind w:left="0" w:firstLine="400"/>
      </w:pPr>
      <w:rPr>
        <w:rFonts w:hint="default"/>
      </w:rPr>
    </w:lvl>
  </w:abstractNum>
  <w:abstractNum w:abstractNumId="1">
    <w:nsid w:val="CF092B84"/>
    <w:multiLevelType w:val="multilevel"/>
    <w:tmpl w:val="CF092B84"/>
    <w:lvl w:ilvl="0" w:tentative="0">
      <w:start w:val="1"/>
      <w:numFmt w:val="decimal"/>
      <w:suff w:val="nothing"/>
      <w:lvlText w:val="(%1)"/>
      <w:lvlJc w:val="left"/>
      <w:pPr>
        <w:tabs>
          <w:tab w:val="left" w:pos="360"/>
          <w:tab w:val="left" w:pos="475"/>
        </w:tabs>
        <w:ind w:left="681"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tabs>
          <w:tab w:val="left" w:pos="360"/>
          <w:tab w:val="left" w:pos="475"/>
          <w:tab w:val="left" w:pos="1161"/>
        </w:tabs>
        <w:ind w:left="1399" w:hanging="658"/>
      </w:pPr>
      <w:rPr>
        <w:rFonts w:hAnsi="Arial Unicode MS"/>
        <w:caps w:val="0"/>
        <w:smallCaps w:val="0"/>
        <w:strike w:val="0"/>
        <w:dstrike w:val="0"/>
        <w:spacing w:val="0"/>
        <w:w w:val="100"/>
        <w:kern w:val="0"/>
        <w:position w:val="0"/>
        <w:highlight w:val="none"/>
        <w:vertAlign w:val="baseline"/>
      </w:rPr>
    </w:lvl>
    <w:lvl w:ilvl="2" w:tentative="0">
      <w:start w:val="1"/>
      <w:numFmt w:val="lowerRoman"/>
      <w:suff w:val="nothing"/>
      <w:lvlText w:val="%3."/>
      <w:lvlJc w:val="left"/>
      <w:pPr>
        <w:tabs>
          <w:tab w:val="left" w:pos="360"/>
          <w:tab w:val="left" w:pos="475"/>
        </w:tabs>
        <w:ind w:left="1411" w:hanging="360"/>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tabs>
          <w:tab w:val="left" w:pos="360"/>
          <w:tab w:val="left" w:pos="475"/>
        </w:tabs>
        <w:ind w:left="1941" w:hanging="360"/>
      </w:pPr>
      <w:rPr>
        <w:rFonts w:hAnsi="Arial Unicode MS"/>
        <w:caps w:val="0"/>
        <w:smallCaps w:val="0"/>
        <w:strike w:val="0"/>
        <w:dstrike w:val="0"/>
        <w:spacing w:val="0"/>
        <w:w w:val="100"/>
        <w:kern w:val="0"/>
        <w:position w:val="0"/>
        <w:highlight w:val="none"/>
        <w:vertAlign w:val="baseline"/>
      </w:rPr>
    </w:lvl>
    <w:lvl w:ilvl="4" w:tentative="0">
      <w:start w:val="1"/>
      <w:numFmt w:val="lowerLetter"/>
      <w:suff w:val="nothing"/>
      <w:lvlText w:val="%5)"/>
      <w:lvlJc w:val="left"/>
      <w:pPr>
        <w:tabs>
          <w:tab w:val="left" w:pos="360"/>
          <w:tab w:val="left" w:pos="475"/>
        </w:tabs>
        <w:ind w:left="2361" w:hanging="36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tabs>
          <w:tab w:val="left" w:pos="360"/>
          <w:tab w:val="left" w:pos="475"/>
          <w:tab w:val="left" w:pos="2544"/>
        </w:tabs>
        <w:ind w:left="2782" w:hanging="47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tabs>
          <w:tab w:val="left" w:pos="360"/>
          <w:tab w:val="left" w:pos="475"/>
        </w:tabs>
        <w:ind w:left="3201" w:hanging="360"/>
      </w:pPr>
      <w:rPr>
        <w:rFonts w:hAnsi="Arial Unicode MS"/>
        <w:caps w:val="0"/>
        <w:smallCaps w:val="0"/>
        <w:strike w:val="0"/>
        <w:dstrike w:val="0"/>
        <w:spacing w:val="0"/>
        <w:w w:val="100"/>
        <w:kern w:val="0"/>
        <w:position w:val="0"/>
        <w:highlight w:val="none"/>
        <w:vertAlign w:val="baseline"/>
      </w:rPr>
    </w:lvl>
    <w:lvl w:ilvl="7" w:tentative="0">
      <w:start w:val="1"/>
      <w:numFmt w:val="lowerLetter"/>
      <w:suff w:val="nothing"/>
      <w:lvlText w:val="%8)"/>
      <w:lvlJc w:val="left"/>
      <w:pPr>
        <w:tabs>
          <w:tab w:val="left" w:pos="360"/>
          <w:tab w:val="left" w:pos="475"/>
        </w:tabs>
        <w:ind w:left="3621" w:hanging="36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tabs>
          <w:tab w:val="left" w:pos="360"/>
          <w:tab w:val="left" w:pos="475"/>
          <w:tab w:val="left" w:pos="3816"/>
        </w:tabs>
        <w:ind w:left="4054" w:hanging="483"/>
      </w:pPr>
      <w:rPr>
        <w:rFonts w:hAnsi="Arial Unicode MS"/>
        <w:caps w:val="0"/>
        <w:smallCaps w:val="0"/>
        <w:strike w:val="0"/>
        <w:dstrike w:val="0"/>
        <w:spacing w:val="0"/>
        <w:w w:val="100"/>
        <w:kern w:val="0"/>
        <w:position w:val="0"/>
        <w:highlight w:val="none"/>
        <w:vertAlign w:val="baseline"/>
      </w:rPr>
    </w:lvl>
  </w:abstractNum>
  <w:abstractNum w:abstractNumId="2">
    <w:nsid w:val="00000012"/>
    <w:multiLevelType w:val="multilevel"/>
    <w:tmpl w:val="00000012"/>
    <w:lvl w:ilvl="0" w:tentative="0">
      <w:start w:val="1"/>
      <w:numFmt w:val="japaneseCounting"/>
      <w:pStyle w:val="166"/>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45"/>
      <w:isLgl/>
      <w:lvlText w:val="%1.%2"/>
      <w:lvlJc w:val="left"/>
      <w:pPr>
        <w:tabs>
          <w:tab w:val="left" w:pos="851"/>
        </w:tabs>
        <w:ind w:left="0" w:firstLine="0"/>
      </w:pPr>
    </w:lvl>
    <w:lvl w:ilvl="2" w:tentative="0">
      <w:start w:val="1"/>
      <w:numFmt w:val="decimal"/>
      <w:pStyle w:val="146"/>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263ECD7D"/>
    <w:multiLevelType w:val="multilevel"/>
    <w:tmpl w:val="263ECD7D"/>
    <w:lvl w:ilvl="0" w:tentative="0">
      <w:start w:val="1"/>
      <w:numFmt w:val="decimal"/>
      <w:suff w:val="nothing"/>
      <w:lvlText w:val="(%1)"/>
      <w:lvlJc w:val="left"/>
      <w:pPr>
        <w:tabs>
          <w:tab w:val="left" w:pos="360"/>
        </w:tabs>
        <w:ind w:left="681"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tabs>
          <w:tab w:val="left" w:pos="360"/>
        </w:tabs>
        <w:ind w:left="1399" w:hanging="658"/>
      </w:pPr>
      <w:rPr>
        <w:rFonts w:hAnsi="Arial Unicode MS"/>
        <w:caps w:val="0"/>
        <w:smallCaps w:val="0"/>
        <w:strike w:val="0"/>
        <w:dstrike w:val="0"/>
        <w:spacing w:val="0"/>
        <w:w w:val="100"/>
        <w:kern w:val="0"/>
        <w:position w:val="0"/>
        <w:highlight w:val="none"/>
        <w:vertAlign w:val="baseline"/>
      </w:rPr>
    </w:lvl>
    <w:lvl w:ilvl="2" w:tentative="0">
      <w:start w:val="1"/>
      <w:numFmt w:val="lowerRoman"/>
      <w:suff w:val="nothing"/>
      <w:lvlText w:val="%3."/>
      <w:lvlJc w:val="left"/>
      <w:pPr>
        <w:tabs>
          <w:tab w:val="left" w:pos="360"/>
        </w:tabs>
        <w:ind w:left="1411" w:hanging="360"/>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tabs>
          <w:tab w:val="left" w:pos="360"/>
        </w:tabs>
        <w:ind w:left="1941" w:hanging="360"/>
      </w:pPr>
      <w:rPr>
        <w:rFonts w:hAnsi="Arial Unicode MS"/>
        <w:caps w:val="0"/>
        <w:smallCaps w:val="0"/>
        <w:strike w:val="0"/>
        <w:dstrike w:val="0"/>
        <w:spacing w:val="0"/>
        <w:w w:val="100"/>
        <w:kern w:val="0"/>
        <w:position w:val="0"/>
        <w:highlight w:val="none"/>
        <w:vertAlign w:val="baseline"/>
      </w:rPr>
    </w:lvl>
    <w:lvl w:ilvl="4" w:tentative="0">
      <w:start w:val="1"/>
      <w:numFmt w:val="lowerLetter"/>
      <w:suff w:val="nothing"/>
      <w:lvlText w:val="%5)"/>
      <w:lvlJc w:val="left"/>
      <w:pPr>
        <w:tabs>
          <w:tab w:val="left" w:pos="360"/>
        </w:tabs>
        <w:ind w:left="2361" w:hanging="36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tabs>
          <w:tab w:val="left" w:pos="360"/>
        </w:tabs>
        <w:ind w:left="2782" w:hanging="47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tabs>
          <w:tab w:val="left" w:pos="360"/>
        </w:tabs>
        <w:ind w:left="3201" w:hanging="360"/>
      </w:pPr>
      <w:rPr>
        <w:rFonts w:hAnsi="Arial Unicode MS"/>
        <w:caps w:val="0"/>
        <w:smallCaps w:val="0"/>
        <w:strike w:val="0"/>
        <w:dstrike w:val="0"/>
        <w:spacing w:val="0"/>
        <w:w w:val="100"/>
        <w:kern w:val="0"/>
        <w:position w:val="0"/>
        <w:highlight w:val="none"/>
        <w:vertAlign w:val="baseline"/>
      </w:rPr>
    </w:lvl>
    <w:lvl w:ilvl="7" w:tentative="0">
      <w:start w:val="1"/>
      <w:numFmt w:val="lowerLetter"/>
      <w:suff w:val="nothing"/>
      <w:lvlText w:val="%8)"/>
      <w:lvlJc w:val="left"/>
      <w:pPr>
        <w:tabs>
          <w:tab w:val="left" w:pos="360"/>
        </w:tabs>
        <w:ind w:left="3621" w:hanging="36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tabs>
          <w:tab w:val="left" w:pos="360"/>
        </w:tabs>
        <w:ind w:left="4054" w:hanging="483"/>
      </w:pPr>
      <w:rPr>
        <w:rFonts w:hAnsi="Arial Unicode MS"/>
        <w:caps w:val="0"/>
        <w:smallCaps w:val="0"/>
        <w:strike w:val="0"/>
        <w:dstrike w:val="0"/>
        <w:spacing w:val="0"/>
        <w:w w:val="100"/>
        <w:kern w:val="0"/>
        <w:position w:val="0"/>
        <w:highlight w:val="none"/>
        <w:vertAlign w:val="baseline"/>
      </w:rPr>
    </w:lvl>
  </w:abstractNum>
  <w:abstractNum w:abstractNumId="5">
    <w:nsid w:val="5E929EBA"/>
    <w:multiLevelType w:val="singleLevel"/>
    <w:tmpl w:val="5E929EBA"/>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6">
    <w:nsid w:val="6607547B"/>
    <w:multiLevelType w:val="multilevel"/>
    <w:tmpl w:val="6607547B"/>
    <w:lvl w:ilvl="0" w:tentative="0">
      <w:start w:val="1"/>
      <w:numFmt w:val="bullet"/>
      <w:pStyle w:val="10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4"/>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5"/>
  </w:num>
  <w:num w:numId="3">
    <w:abstractNumId w:val="6"/>
  </w:num>
  <w:num w:numId="4">
    <w:abstractNumId w:val="3"/>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ZjY0NjFhYTdhM2E1MjM3YmYxNDBkNWE3NzU4OGUifQ=="/>
  </w:docVars>
  <w:rsids>
    <w:rsidRoot w:val="00172A27"/>
    <w:rsid w:val="000019C0"/>
    <w:rsid w:val="00005E6E"/>
    <w:rsid w:val="00007D25"/>
    <w:rsid w:val="0001020A"/>
    <w:rsid w:val="00014890"/>
    <w:rsid w:val="00020C65"/>
    <w:rsid w:val="000230C2"/>
    <w:rsid w:val="00025D01"/>
    <w:rsid w:val="00026B8D"/>
    <w:rsid w:val="0002713F"/>
    <w:rsid w:val="00030DEB"/>
    <w:rsid w:val="00030EDB"/>
    <w:rsid w:val="000331D9"/>
    <w:rsid w:val="00033E6F"/>
    <w:rsid w:val="0003498A"/>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B77F1"/>
    <w:rsid w:val="000C0061"/>
    <w:rsid w:val="000C1CD5"/>
    <w:rsid w:val="000C72B8"/>
    <w:rsid w:val="000D2D26"/>
    <w:rsid w:val="000E56D9"/>
    <w:rsid w:val="000E6A96"/>
    <w:rsid w:val="000F6519"/>
    <w:rsid w:val="001034D3"/>
    <w:rsid w:val="001044D2"/>
    <w:rsid w:val="001058CC"/>
    <w:rsid w:val="00125695"/>
    <w:rsid w:val="00127EF3"/>
    <w:rsid w:val="00137FC8"/>
    <w:rsid w:val="001576A2"/>
    <w:rsid w:val="0016427C"/>
    <w:rsid w:val="00165EE7"/>
    <w:rsid w:val="001668E3"/>
    <w:rsid w:val="0016770E"/>
    <w:rsid w:val="00167C66"/>
    <w:rsid w:val="00172A27"/>
    <w:rsid w:val="001730CE"/>
    <w:rsid w:val="001846A1"/>
    <w:rsid w:val="001907F8"/>
    <w:rsid w:val="00196D12"/>
    <w:rsid w:val="001A0514"/>
    <w:rsid w:val="001A5C95"/>
    <w:rsid w:val="001B54EF"/>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555A"/>
    <w:rsid w:val="00246BEC"/>
    <w:rsid w:val="00246F4C"/>
    <w:rsid w:val="0024763C"/>
    <w:rsid w:val="00250550"/>
    <w:rsid w:val="00251D06"/>
    <w:rsid w:val="00254988"/>
    <w:rsid w:val="00255987"/>
    <w:rsid w:val="00263341"/>
    <w:rsid w:val="0027213B"/>
    <w:rsid w:val="00273BDC"/>
    <w:rsid w:val="00285783"/>
    <w:rsid w:val="00292B39"/>
    <w:rsid w:val="00297521"/>
    <w:rsid w:val="002A017F"/>
    <w:rsid w:val="002A410A"/>
    <w:rsid w:val="002A6AB3"/>
    <w:rsid w:val="002A6BDE"/>
    <w:rsid w:val="002B3B7E"/>
    <w:rsid w:val="002B709D"/>
    <w:rsid w:val="002B7AD1"/>
    <w:rsid w:val="002C5259"/>
    <w:rsid w:val="002C7385"/>
    <w:rsid w:val="002D10E7"/>
    <w:rsid w:val="002D1702"/>
    <w:rsid w:val="002D5601"/>
    <w:rsid w:val="002E1845"/>
    <w:rsid w:val="002E51F1"/>
    <w:rsid w:val="002E7C88"/>
    <w:rsid w:val="002F58C9"/>
    <w:rsid w:val="00301DFF"/>
    <w:rsid w:val="003023D4"/>
    <w:rsid w:val="003027CF"/>
    <w:rsid w:val="00305ABF"/>
    <w:rsid w:val="00307F65"/>
    <w:rsid w:val="00313754"/>
    <w:rsid w:val="00322013"/>
    <w:rsid w:val="003263B3"/>
    <w:rsid w:val="00327129"/>
    <w:rsid w:val="00335438"/>
    <w:rsid w:val="00335642"/>
    <w:rsid w:val="003425DA"/>
    <w:rsid w:val="00343D86"/>
    <w:rsid w:val="00346383"/>
    <w:rsid w:val="00361FEA"/>
    <w:rsid w:val="003627B3"/>
    <w:rsid w:val="003627BF"/>
    <w:rsid w:val="00364779"/>
    <w:rsid w:val="00365754"/>
    <w:rsid w:val="00367B30"/>
    <w:rsid w:val="003714BD"/>
    <w:rsid w:val="00375C05"/>
    <w:rsid w:val="00376AF7"/>
    <w:rsid w:val="00380814"/>
    <w:rsid w:val="00382442"/>
    <w:rsid w:val="0038516A"/>
    <w:rsid w:val="003903A2"/>
    <w:rsid w:val="00392B26"/>
    <w:rsid w:val="003A220A"/>
    <w:rsid w:val="003A359C"/>
    <w:rsid w:val="003A7F58"/>
    <w:rsid w:val="003C3B82"/>
    <w:rsid w:val="003D6D88"/>
    <w:rsid w:val="003E5365"/>
    <w:rsid w:val="003E5E22"/>
    <w:rsid w:val="003E7761"/>
    <w:rsid w:val="00402ECA"/>
    <w:rsid w:val="004145D2"/>
    <w:rsid w:val="00420A7D"/>
    <w:rsid w:val="004218C8"/>
    <w:rsid w:val="004253F5"/>
    <w:rsid w:val="00425826"/>
    <w:rsid w:val="00443F99"/>
    <w:rsid w:val="004564BC"/>
    <w:rsid w:val="00461E38"/>
    <w:rsid w:val="00462A9D"/>
    <w:rsid w:val="00463F0D"/>
    <w:rsid w:val="004716A9"/>
    <w:rsid w:val="00471B4B"/>
    <w:rsid w:val="00472F78"/>
    <w:rsid w:val="00475065"/>
    <w:rsid w:val="004751C3"/>
    <w:rsid w:val="00480AAD"/>
    <w:rsid w:val="00480B1F"/>
    <w:rsid w:val="00493AE2"/>
    <w:rsid w:val="0049568A"/>
    <w:rsid w:val="004A379C"/>
    <w:rsid w:val="004A5A08"/>
    <w:rsid w:val="004B1EF9"/>
    <w:rsid w:val="004C1807"/>
    <w:rsid w:val="004C5637"/>
    <w:rsid w:val="004D348A"/>
    <w:rsid w:val="004D495D"/>
    <w:rsid w:val="004E3BE6"/>
    <w:rsid w:val="004F4841"/>
    <w:rsid w:val="00502382"/>
    <w:rsid w:val="0051416B"/>
    <w:rsid w:val="00516709"/>
    <w:rsid w:val="00551E71"/>
    <w:rsid w:val="0055727C"/>
    <w:rsid w:val="0057433B"/>
    <w:rsid w:val="00577078"/>
    <w:rsid w:val="00577FA0"/>
    <w:rsid w:val="00593904"/>
    <w:rsid w:val="005A52A9"/>
    <w:rsid w:val="005A54DE"/>
    <w:rsid w:val="005A5850"/>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39C8"/>
    <w:rsid w:val="006058C4"/>
    <w:rsid w:val="00607A23"/>
    <w:rsid w:val="00610DA3"/>
    <w:rsid w:val="00623320"/>
    <w:rsid w:val="006263E6"/>
    <w:rsid w:val="00633A95"/>
    <w:rsid w:val="006462A5"/>
    <w:rsid w:val="00661737"/>
    <w:rsid w:val="00663F7B"/>
    <w:rsid w:val="0066614C"/>
    <w:rsid w:val="00671FA3"/>
    <w:rsid w:val="00673D67"/>
    <w:rsid w:val="00676312"/>
    <w:rsid w:val="00677EBE"/>
    <w:rsid w:val="006823E6"/>
    <w:rsid w:val="00693368"/>
    <w:rsid w:val="006951DB"/>
    <w:rsid w:val="00697B16"/>
    <w:rsid w:val="006B5E2B"/>
    <w:rsid w:val="006C0C9A"/>
    <w:rsid w:val="006C2E2C"/>
    <w:rsid w:val="006D7999"/>
    <w:rsid w:val="006E0E28"/>
    <w:rsid w:val="006F1536"/>
    <w:rsid w:val="006F6381"/>
    <w:rsid w:val="0070025B"/>
    <w:rsid w:val="00713DEA"/>
    <w:rsid w:val="00720170"/>
    <w:rsid w:val="00721072"/>
    <w:rsid w:val="007270CE"/>
    <w:rsid w:val="00730B81"/>
    <w:rsid w:val="0073562C"/>
    <w:rsid w:val="0074004C"/>
    <w:rsid w:val="007408A5"/>
    <w:rsid w:val="007418BD"/>
    <w:rsid w:val="00745DFA"/>
    <w:rsid w:val="00750B40"/>
    <w:rsid w:val="00756B64"/>
    <w:rsid w:val="007603F4"/>
    <w:rsid w:val="007617BF"/>
    <w:rsid w:val="007701BF"/>
    <w:rsid w:val="00772B32"/>
    <w:rsid w:val="00791C72"/>
    <w:rsid w:val="007A2EFB"/>
    <w:rsid w:val="007A5DFE"/>
    <w:rsid w:val="007B273A"/>
    <w:rsid w:val="007B2C11"/>
    <w:rsid w:val="007B3A4C"/>
    <w:rsid w:val="007B590F"/>
    <w:rsid w:val="007B6C63"/>
    <w:rsid w:val="007C00B9"/>
    <w:rsid w:val="007C1DF2"/>
    <w:rsid w:val="007C27D4"/>
    <w:rsid w:val="007C5883"/>
    <w:rsid w:val="007D3281"/>
    <w:rsid w:val="007D6EB2"/>
    <w:rsid w:val="007E136C"/>
    <w:rsid w:val="007E19BA"/>
    <w:rsid w:val="007E49AA"/>
    <w:rsid w:val="007F0DD4"/>
    <w:rsid w:val="007F3DF5"/>
    <w:rsid w:val="007F5486"/>
    <w:rsid w:val="007F67ED"/>
    <w:rsid w:val="00803647"/>
    <w:rsid w:val="00804681"/>
    <w:rsid w:val="008075FB"/>
    <w:rsid w:val="0081258C"/>
    <w:rsid w:val="00826ACF"/>
    <w:rsid w:val="00830898"/>
    <w:rsid w:val="00836B63"/>
    <w:rsid w:val="00856255"/>
    <w:rsid w:val="008656DE"/>
    <w:rsid w:val="00867902"/>
    <w:rsid w:val="00871A87"/>
    <w:rsid w:val="008757ED"/>
    <w:rsid w:val="00881C5B"/>
    <w:rsid w:val="00884235"/>
    <w:rsid w:val="008902E7"/>
    <w:rsid w:val="008975FB"/>
    <w:rsid w:val="008A2A68"/>
    <w:rsid w:val="008A6042"/>
    <w:rsid w:val="008B2F0E"/>
    <w:rsid w:val="008B74F0"/>
    <w:rsid w:val="008C20AE"/>
    <w:rsid w:val="008D0AD3"/>
    <w:rsid w:val="008D68A0"/>
    <w:rsid w:val="008E1A4F"/>
    <w:rsid w:val="008E3AB9"/>
    <w:rsid w:val="008E68EE"/>
    <w:rsid w:val="008E7FCB"/>
    <w:rsid w:val="008F2A60"/>
    <w:rsid w:val="008F572D"/>
    <w:rsid w:val="00920789"/>
    <w:rsid w:val="00920BA6"/>
    <w:rsid w:val="00927C99"/>
    <w:rsid w:val="00952D5A"/>
    <w:rsid w:val="00957669"/>
    <w:rsid w:val="00960CA2"/>
    <w:rsid w:val="00963830"/>
    <w:rsid w:val="009651A0"/>
    <w:rsid w:val="00970D8F"/>
    <w:rsid w:val="00973A82"/>
    <w:rsid w:val="00974AE3"/>
    <w:rsid w:val="00986D27"/>
    <w:rsid w:val="00986F99"/>
    <w:rsid w:val="00990D24"/>
    <w:rsid w:val="009A21AF"/>
    <w:rsid w:val="009A38E2"/>
    <w:rsid w:val="009A751C"/>
    <w:rsid w:val="009B51EC"/>
    <w:rsid w:val="009B6A3A"/>
    <w:rsid w:val="009C1240"/>
    <w:rsid w:val="009C3DE3"/>
    <w:rsid w:val="009C509B"/>
    <w:rsid w:val="009C6F8D"/>
    <w:rsid w:val="009D2803"/>
    <w:rsid w:val="009D6EAF"/>
    <w:rsid w:val="009E19AE"/>
    <w:rsid w:val="009E3DDC"/>
    <w:rsid w:val="009E4B9B"/>
    <w:rsid w:val="009E741A"/>
    <w:rsid w:val="009F66F4"/>
    <w:rsid w:val="00A04163"/>
    <w:rsid w:val="00A236EE"/>
    <w:rsid w:val="00A25B37"/>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4496"/>
    <w:rsid w:val="00AE5A59"/>
    <w:rsid w:val="00AF3E25"/>
    <w:rsid w:val="00B01D59"/>
    <w:rsid w:val="00B041B7"/>
    <w:rsid w:val="00B137BC"/>
    <w:rsid w:val="00B13FB7"/>
    <w:rsid w:val="00B22BA3"/>
    <w:rsid w:val="00B33FDF"/>
    <w:rsid w:val="00B34B91"/>
    <w:rsid w:val="00B415E7"/>
    <w:rsid w:val="00B60C3F"/>
    <w:rsid w:val="00B61112"/>
    <w:rsid w:val="00B63DCD"/>
    <w:rsid w:val="00B707FD"/>
    <w:rsid w:val="00B76A59"/>
    <w:rsid w:val="00B77A90"/>
    <w:rsid w:val="00B81DAE"/>
    <w:rsid w:val="00B84E5D"/>
    <w:rsid w:val="00B97FBD"/>
    <w:rsid w:val="00BB00EE"/>
    <w:rsid w:val="00BB18ED"/>
    <w:rsid w:val="00BB25D3"/>
    <w:rsid w:val="00BB47FE"/>
    <w:rsid w:val="00BB571F"/>
    <w:rsid w:val="00BB71EB"/>
    <w:rsid w:val="00BC2A7D"/>
    <w:rsid w:val="00BC702E"/>
    <w:rsid w:val="00BD4032"/>
    <w:rsid w:val="00BD5C25"/>
    <w:rsid w:val="00BF40C7"/>
    <w:rsid w:val="00C02E20"/>
    <w:rsid w:val="00C122CB"/>
    <w:rsid w:val="00C123F6"/>
    <w:rsid w:val="00C14E04"/>
    <w:rsid w:val="00C24AA4"/>
    <w:rsid w:val="00C2780C"/>
    <w:rsid w:val="00C315A0"/>
    <w:rsid w:val="00C37562"/>
    <w:rsid w:val="00C41ADB"/>
    <w:rsid w:val="00C45EAD"/>
    <w:rsid w:val="00C4767D"/>
    <w:rsid w:val="00C52BA3"/>
    <w:rsid w:val="00C52EC3"/>
    <w:rsid w:val="00C551F6"/>
    <w:rsid w:val="00C567D8"/>
    <w:rsid w:val="00C61265"/>
    <w:rsid w:val="00C6205B"/>
    <w:rsid w:val="00C65E3A"/>
    <w:rsid w:val="00C75D6B"/>
    <w:rsid w:val="00C767FF"/>
    <w:rsid w:val="00C87D28"/>
    <w:rsid w:val="00C90B34"/>
    <w:rsid w:val="00C933AC"/>
    <w:rsid w:val="00C94B36"/>
    <w:rsid w:val="00CA15C5"/>
    <w:rsid w:val="00CB5834"/>
    <w:rsid w:val="00CB5C0F"/>
    <w:rsid w:val="00CB70BE"/>
    <w:rsid w:val="00CC26FE"/>
    <w:rsid w:val="00CC498A"/>
    <w:rsid w:val="00CD0817"/>
    <w:rsid w:val="00CD4C1B"/>
    <w:rsid w:val="00CD620C"/>
    <w:rsid w:val="00CE1044"/>
    <w:rsid w:val="00CE2814"/>
    <w:rsid w:val="00CF013C"/>
    <w:rsid w:val="00CF01C3"/>
    <w:rsid w:val="00D05A20"/>
    <w:rsid w:val="00D1539F"/>
    <w:rsid w:val="00D239E5"/>
    <w:rsid w:val="00D32713"/>
    <w:rsid w:val="00D42281"/>
    <w:rsid w:val="00D43768"/>
    <w:rsid w:val="00D60E8F"/>
    <w:rsid w:val="00DA0464"/>
    <w:rsid w:val="00DB3030"/>
    <w:rsid w:val="00DB386A"/>
    <w:rsid w:val="00DB68F4"/>
    <w:rsid w:val="00DC5DD8"/>
    <w:rsid w:val="00DC6555"/>
    <w:rsid w:val="00DC715B"/>
    <w:rsid w:val="00DD142C"/>
    <w:rsid w:val="00DD4670"/>
    <w:rsid w:val="00DE6968"/>
    <w:rsid w:val="00DF1158"/>
    <w:rsid w:val="00E00FEC"/>
    <w:rsid w:val="00E103D1"/>
    <w:rsid w:val="00E206B8"/>
    <w:rsid w:val="00E22AAF"/>
    <w:rsid w:val="00E32AC6"/>
    <w:rsid w:val="00E35949"/>
    <w:rsid w:val="00E42A08"/>
    <w:rsid w:val="00E42E49"/>
    <w:rsid w:val="00E43018"/>
    <w:rsid w:val="00E530D0"/>
    <w:rsid w:val="00E60CA5"/>
    <w:rsid w:val="00E67802"/>
    <w:rsid w:val="00E71638"/>
    <w:rsid w:val="00E76934"/>
    <w:rsid w:val="00E76F5E"/>
    <w:rsid w:val="00E85B6E"/>
    <w:rsid w:val="00E939A6"/>
    <w:rsid w:val="00E975B4"/>
    <w:rsid w:val="00EA66B6"/>
    <w:rsid w:val="00EB2F61"/>
    <w:rsid w:val="00EC5569"/>
    <w:rsid w:val="00ED340C"/>
    <w:rsid w:val="00ED50B0"/>
    <w:rsid w:val="00EE0B3F"/>
    <w:rsid w:val="00EE2B02"/>
    <w:rsid w:val="00EE6300"/>
    <w:rsid w:val="00EF4E9D"/>
    <w:rsid w:val="00F03817"/>
    <w:rsid w:val="00F03ECC"/>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F3189"/>
    <w:rsid w:val="010A3F89"/>
    <w:rsid w:val="01147664"/>
    <w:rsid w:val="012B3C4B"/>
    <w:rsid w:val="014852B3"/>
    <w:rsid w:val="014A20AA"/>
    <w:rsid w:val="014F6641"/>
    <w:rsid w:val="015661FD"/>
    <w:rsid w:val="015754F6"/>
    <w:rsid w:val="016A385C"/>
    <w:rsid w:val="017E6F26"/>
    <w:rsid w:val="0190002F"/>
    <w:rsid w:val="01AE228E"/>
    <w:rsid w:val="01AF3871"/>
    <w:rsid w:val="01B2363B"/>
    <w:rsid w:val="01E62509"/>
    <w:rsid w:val="01FC1D65"/>
    <w:rsid w:val="02391CBE"/>
    <w:rsid w:val="0261662C"/>
    <w:rsid w:val="02864546"/>
    <w:rsid w:val="0295174E"/>
    <w:rsid w:val="02A129E4"/>
    <w:rsid w:val="02C32E43"/>
    <w:rsid w:val="0318608E"/>
    <w:rsid w:val="0327540B"/>
    <w:rsid w:val="033F7FE7"/>
    <w:rsid w:val="0366524E"/>
    <w:rsid w:val="03774BB7"/>
    <w:rsid w:val="037F7583"/>
    <w:rsid w:val="03803476"/>
    <w:rsid w:val="039769BC"/>
    <w:rsid w:val="039F3184"/>
    <w:rsid w:val="03A82D1C"/>
    <w:rsid w:val="03D17ED7"/>
    <w:rsid w:val="03DB186A"/>
    <w:rsid w:val="03DF1EFE"/>
    <w:rsid w:val="0400691B"/>
    <w:rsid w:val="04025AD9"/>
    <w:rsid w:val="041B7F09"/>
    <w:rsid w:val="0443753C"/>
    <w:rsid w:val="045A5870"/>
    <w:rsid w:val="047249C9"/>
    <w:rsid w:val="04744FA3"/>
    <w:rsid w:val="04812218"/>
    <w:rsid w:val="048C54B6"/>
    <w:rsid w:val="04903AD9"/>
    <w:rsid w:val="04B87651"/>
    <w:rsid w:val="04B94150"/>
    <w:rsid w:val="0529090D"/>
    <w:rsid w:val="053262C9"/>
    <w:rsid w:val="05540E61"/>
    <w:rsid w:val="05621969"/>
    <w:rsid w:val="056260C9"/>
    <w:rsid w:val="056D1FD6"/>
    <w:rsid w:val="058014BF"/>
    <w:rsid w:val="059252BD"/>
    <w:rsid w:val="059960EF"/>
    <w:rsid w:val="059D1295"/>
    <w:rsid w:val="05A36F5B"/>
    <w:rsid w:val="05A73AFD"/>
    <w:rsid w:val="05A8296F"/>
    <w:rsid w:val="05A84572"/>
    <w:rsid w:val="05C07B0D"/>
    <w:rsid w:val="05C77851"/>
    <w:rsid w:val="05C926CC"/>
    <w:rsid w:val="05D84E57"/>
    <w:rsid w:val="05E4431E"/>
    <w:rsid w:val="061B066C"/>
    <w:rsid w:val="06492499"/>
    <w:rsid w:val="064A7E91"/>
    <w:rsid w:val="065E329B"/>
    <w:rsid w:val="06810BA8"/>
    <w:rsid w:val="068E55C1"/>
    <w:rsid w:val="06911C3B"/>
    <w:rsid w:val="06AF5879"/>
    <w:rsid w:val="06D42563"/>
    <w:rsid w:val="06D6062D"/>
    <w:rsid w:val="06EE6E7F"/>
    <w:rsid w:val="070236A1"/>
    <w:rsid w:val="070C28DE"/>
    <w:rsid w:val="07287718"/>
    <w:rsid w:val="073A5B6E"/>
    <w:rsid w:val="07661F59"/>
    <w:rsid w:val="07807B2F"/>
    <w:rsid w:val="07960924"/>
    <w:rsid w:val="07A95FE9"/>
    <w:rsid w:val="07B40EAC"/>
    <w:rsid w:val="07C17B6D"/>
    <w:rsid w:val="080F2686"/>
    <w:rsid w:val="08190F56"/>
    <w:rsid w:val="081C7B18"/>
    <w:rsid w:val="08367CC1"/>
    <w:rsid w:val="08393538"/>
    <w:rsid w:val="08456EC3"/>
    <w:rsid w:val="087D1DA1"/>
    <w:rsid w:val="087E0C00"/>
    <w:rsid w:val="088A56FB"/>
    <w:rsid w:val="089D5EE4"/>
    <w:rsid w:val="08A454C4"/>
    <w:rsid w:val="08AF5C79"/>
    <w:rsid w:val="08B17DA8"/>
    <w:rsid w:val="08CB0CA3"/>
    <w:rsid w:val="08FF7E5C"/>
    <w:rsid w:val="090D5C29"/>
    <w:rsid w:val="09134A1A"/>
    <w:rsid w:val="09366338"/>
    <w:rsid w:val="093D1475"/>
    <w:rsid w:val="0941247D"/>
    <w:rsid w:val="0987515D"/>
    <w:rsid w:val="0995305F"/>
    <w:rsid w:val="09AD2157"/>
    <w:rsid w:val="09AF0299"/>
    <w:rsid w:val="09F46EC3"/>
    <w:rsid w:val="0A013B4F"/>
    <w:rsid w:val="0A036EF6"/>
    <w:rsid w:val="0A056F41"/>
    <w:rsid w:val="0A0C7686"/>
    <w:rsid w:val="0A0E148C"/>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62C66"/>
    <w:rsid w:val="0B63054C"/>
    <w:rsid w:val="0B76745B"/>
    <w:rsid w:val="0B790F87"/>
    <w:rsid w:val="0B937386"/>
    <w:rsid w:val="0BA913B1"/>
    <w:rsid w:val="0BA92DF2"/>
    <w:rsid w:val="0BB80A2A"/>
    <w:rsid w:val="0C1500FB"/>
    <w:rsid w:val="0C1E3FB3"/>
    <w:rsid w:val="0C2C71EC"/>
    <w:rsid w:val="0C460641"/>
    <w:rsid w:val="0C646C7F"/>
    <w:rsid w:val="0C6D59CB"/>
    <w:rsid w:val="0C8147C0"/>
    <w:rsid w:val="0CA46614"/>
    <w:rsid w:val="0CDB33A0"/>
    <w:rsid w:val="0CE36C56"/>
    <w:rsid w:val="0CF419A1"/>
    <w:rsid w:val="0D051C6D"/>
    <w:rsid w:val="0D0736B4"/>
    <w:rsid w:val="0D077DD0"/>
    <w:rsid w:val="0D167985"/>
    <w:rsid w:val="0D336E17"/>
    <w:rsid w:val="0D3D4789"/>
    <w:rsid w:val="0D6D4F83"/>
    <w:rsid w:val="0D975B9D"/>
    <w:rsid w:val="0D9A1F60"/>
    <w:rsid w:val="0DA05E56"/>
    <w:rsid w:val="0DBF3E85"/>
    <w:rsid w:val="0DC83A03"/>
    <w:rsid w:val="0E0808D3"/>
    <w:rsid w:val="0E2826F4"/>
    <w:rsid w:val="0E3B52DE"/>
    <w:rsid w:val="0E6949F8"/>
    <w:rsid w:val="0EA63619"/>
    <w:rsid w:val="0EB75826"/>
    <w:rsid w:val="0EBE0962"/>
    <w:rsid w:val="0EE762C8"/>
    <w:rsid w:val="0EEC0458"/>
    <w:rsid w:val="0EF53995"/>
    <w:rsid w:val="0EFB2099"/>
    <w:rsid w:val="0F0634FD"/>
    <w:rsid w:val="0F221C81"/>
    <w:rsid w:val="0F3D5D2B"/>
    <w:rsid w:val="0F710468"/>
    <w:rsid w:val="0F783207"/>
    <w:rsid w:val="0F897EFA"/>
    <w:rsid w:val="0FA75CA9"/>
    <w:rsid w:val="0FC50B86"/>
    <w:rsid w:val="0FCD78B5"/>
    <w:rsid w:val="0FD0046C"/>
    <w:rsid w:val="0FED61FA"/>
    <w:rsid w:val="0FF231C2"/>
    <w:rsid w:val="100A22FD"/>
    <w:rsid w:val="101B7029"/>
    <w:rsid w:val="101E098E"/>
    <w:rsid w:val="102B6E13"/>
    <w:rsid w:val="103F5AD3"/>
    <w:rsid w:val="10454371"/>
    <w:rsid w:val="10477636"/>
    <w:rsid w:val="105E1A4A"/>
    <w:rsid w:val="10676E65"/>
    <w:rsid w:val="106C5626"/>
    <w:rsid w:val="10742706"/>
    <w:rsid w:val="10937D6D"/>
    <w:rsid w:val="10954EEA"/>
    <w:rsid w:val="109C57D7"/>
    <w:rsid w:val="10A34B2E"/>
    <w:rsid w:val="10A74B1C"/>
    <w:rsid w:val="10CC79A9"/>
    <w:rsid w:val="10E15E16"/>
    <w:rsid w:val="10F323A5"/>
    <w:rsid w:val="11134DDF"/>
    <w:rsid w:val="113725E9"/>
    <w:rsid w:val="113F2383"/>
    <w:rsid w:val="114A0BD3"/>
    <w:rsid w:val="116465C8"/>
    <w:rsid w:val="11765062"/>
    <w:rsid w:val="118B5FC4"/>
    <w:rsid w:val="11A55E09"/>
    <w:rsid w:val="11AE0EEB"/>
    <w:rsid w:val="11AE73EA"/>
    <w:rsid w:val="11C942DB"/>
    <w:rsid w:val="11D92D5F"/>
    <w:rsid w:val="11FA561F"/>
    <w:rsid w:val="12157FD3"/>
    <w:rsid w:val="12217B86"/>
    <w:rsid w:val="12243CB9"/>
    <w:rsid w:val="12252F49"/>
    <w:rsid w:val="122D7B58"/>
    <w:rsid w:val="125C5E86"/>
    <w:rsid w:val="12616F5B"/>
    <w:rsid w:val="126953E9"/>
    <w:rsid w:val="127016BC"/>
    <w:rsid w:val="12766ADD"/>
    <w:rsid w:val="127E0401"/>
    <w:rsid w:val="128F7EAA"/>
    <w:rsid w:val="12A367ED"/>
    <w:rsid w:val="12A61FEA"/>
    <w:rsid w:val="12A94511"/>
    <w:rsid w:val="12AA3B32"/>
    <w:rsid w:val="12BF1B25"/>
    <w:rsid w:val="132114D3"/>
    <w:rsid w:val="13323552"/>
    <w:rsid w:val="133D3A0D"/>
    <w:rsid w:val="13496C75"/>
    <w:rsid w:val="135561EF"/>
    <w:rsid w:val="135810F3"/>
    <w:rsid w:val="13885631"/>
    <w:rsid w:val="13CD0E50"/>
    <w:rsid w:val="13FF5F47"/>
    <w:rsid w:val="141D6F87"/>
    <w:rsid w:val="14240AE9"/>
    <w:rsid w:val="142D5748"/>
    <w:rsid w:val="14434554"/>
    <w:rsid w:val="1461426A"/>
    <w:rsid w:val="14695E50"/>
    <w:rsid w:val="14765F16"/>
    <w:rsid w:val="14A357D1"/>
    <w:rsid w:val="14C85AED"/>
    <w:rsid w:val="14F047C6"/>
    <w:rsid w:val="14F52974"/>
    <w:rsid w:val="150311A8"/>
    <w:rsid w:val="150F4C6A"/>
    <w:rsid w:val="15152BD4"/>
    <w:rsid w:val="15387EE4"/>
    <w:rsid w:val="153A0547"/>
    <w:rsid w:val="153C476C"/>
    <w:rsid w:val="155618F4"/>
    <w:rsid w:val="15697E19"/>
    <w:rsid w:val="158226E9"/>
    <w:rsid w:val="15945E76"/>
    <w:rsid w:val="15950236"/>
    <w:rsid w:val="15AE56B5"/>
    <w:rsid w:val="15B115CA"/>
    <w:rsid w:val="15D102A5"/>
    <w:rsid w:val="15D1381B"/>
    <w:rsid w:val="15DD16E1"/>
    <w:rsid w:val="16296601"/>
    <w:rsid w:val="16666B06"/>
    <w:rsid w:val="167D1103"/>
    <w:rsid w:val="167F4E7B"/>
    <w:rsid w:val="16985F3D"/>
    <w:rsid w:val="16B34B25"/>
    <w:rsid w:val="16B41E5A"/>
    <w:rsid w:val="16C1342F"/>
    <w:rsid w:val="16D64677"/>
    <w:rsid w:val="17191DC0"/>
    <w:rsid w:val="17575A01"/>
    <w:rsid w:val="1787048B"/>
    <w:rsid w:val="17D31922"/>
    <w:rsid w:val="17DE5A58"/>
    <w:rsid w:val="17E6429B"/>
    <w:rsid w:val="181028E7"/>
    <w:rsid w:val="18232B29"/>
    <w:rsid w:val="182F0B80"/>
    <w:rsid w:val="18417CC1"/>
    <w:rsid w:val="184B770B"/>
    <w:rsid w:val="185A794E"/>
    <w:rsid w:val="189A33B7"/>
    <w:rsid w:val="18A40A83"/>
    <w:rsid w:val="18AB1AE7"/>
    <w:rsid w:val="18C911C4"/>
    <w:rsid w:val="18CB3C7D"/>
    <w:rsid w:val="19293956"/>
    <w:rsid w:val="19311B2A"/>
    <w:rsid w:val="195F6B3D"/>
    <w:rsid w:val="1973547B"/>
    <w:rsid w:val="19892D6D"/>
    <w:rsid w:val="19A10F4B"/>
    <w:rsid w:val="19D21766"/>
    <w:rsid w:val="19EB2F45"/>
    <w:rsid w:val="19EE2A43"/>
    <w:rsid w:val="19F23CBE"/>
    <w:rsid w:val="19F811CC"/>
    <w:rsid w:val="1A037B71"/>
    <w:rsid w:val="1A0E4F9B"/>
    <w:rsid w:val="1A1734E3"/>
    <w:rsid w:val="1A2D4ADF"/>
    <w:rsid w:val="1A3A2FD9"/>
    <w:rsid w:val="1A3D12D5"/>
    <w:rsid w:val="1A444411"/>
    <w:rsid w:val="1A505E1B"/>
    <w:rsid w:val="1A53729A"/>
    <w:rsid w:val="1A5C6131"/>
    <w:rsid w:val="1A6243BE"/>
    <w:rsid w:val="1A69031C"/>
    <w:rsid w:val="1A6974F9"/>
    <w:rsid w:val="1A6C5CD7"/>
    <w:rsid w:val="1A832130"/>
    <w:rsid w:val="1A906492"/>
    <w:rsid w:val="1A956B0D"/>
    <w:rsid w:val="1AAF68D2"/>
    <w:rsid w:val="1AB07597"/>
    <w:rsid w:val="1AB70A6A"/>
    <w:rsid w:val="1ABE351D"/>
    <w:rsid w:val="1AD34D95"/>
    <w:rsid w:val="1ADD0F40"/>
    <w:rsid w:val="1B083F18"/>
    <w:rsid w:val="1B1B7A0F"/>
    <w:rsid w:val="1B252495"/>
    <w:rsid w:val="1B2D234E"/>
    <w:rsid w:val="1B34646B"/>
    <w:rsid w:val="1B4D19EC"/>
    <w:rsid w:val="1B650AE3"/>
    <w:rsid w:val="1B9A3332"/>
    <w:rsid w:val="1B9A77D0"/>
    <w:rsid w:val="1B9D5DED"/>
    <w:rsid w:val="1B9F2C45"/>
    <w:rsid w:val="1BB515CF"/>
    <w:rsid w:val="1BD96D89"/>
    <w:rsid w:val="1BF57B70"/>
    <w:rsid w:val="1BFC4F3D"/>
    <w:rsid w:val="1C065FFB"/>
    <w:rsid w:val="1C0C44F4"/>
    <w:rsid w:val="1C0E117B"/>
    <w:rsid w:val="1C3109C5"/>
    <w:rsid w:val="1C511490"/>
    <w:rsid w:val="1C7E4FFE"/>
    <w:rsid w:val="1C8C667F"/>
    <w:rsid w:val="1C9F5B7F"/>
    <w:rsid w:val="1CAC1C89"/>
    <w:rsid w:val="1CC57360"/>
    <w:rsid w:val="1CE80FB7"/>
    <w:rsid w:val="1D444728"/>
    <w:rsid w:val="1D463AE5"/>
    <w:rsid w:val="1D4D3C15"/>
    <w:rsid w:val="1D5343D9"/>
    <w:rsid w:val="1D734AFB"/>
    <w:rsid w:val="1D8C2A8B"/>
    <w:rsid w:val="1D9D294F"/>
    <w:rsid w:val="1DC75A85"/>
    <w:rsid w:val="1DE01D35"/>
    <w:rsid w:val="1DF40C35"/>
    <w:rsid w:val="1DF8130E"/>
    <w:rsid w:val="1E2178B5"/>
    <w:rsid w:val="1E790232"/>
    <w:rsid w:val="1E9B2A6E"/>
    <w:rsid w:val="1EA638ED"/>
    <w:rsid w:val="1EA742AC"/>
    <w:rsid w:val="1ED23F64"/>
    <w:rsid w:val="1F2A4548"/>
    <w:rsid w:val="1F2A4B98"/>
    <w:rsid w:val="1F526BC6"/>
    <w:rsid w:val="1F865520"/>
    <w:rsid w:val="1FB24C3A"/>
    <w:rsid w:val="1FDF0657"/>
    <w:rsid w:val="1FE65CE6"/>
    <w:rsid w:val="1FE8604B"/>
    <w:rsid w:val="1FED64C5"/>
    <w:rsid w:val="1FF2569A"/>
    <w:rsid w:val="1FF463D5"/>
    <w:rsid w:val="1FFC578E"/>
    <w:rsid w:val="200F7270"/>
    <w:rsid w:val="20167523"/>
    <w:rsid w:val="201B2EFA"/>
    <w:rsid w:val="202B4220"/>
    <w:rsid w:val="204E5543"/>
    <w:rsid w:val="2060013F"/>
    <w:rsid w:val="206834BD"/>
    <w:rsid w:val="207321A0"/>
    <w:rsid w:val="20895224"/>
    <w:rsid w:val="20A42133"/>
    <w:rsid w:val="20B13E1B"/>
    <w:rsid w:val="20C6325D"/>
    <w:rsid w:val="20DB6DC5"/>
    <w:rsid w:val="20EF2BFD"/>
    <w:rsid w:val="212136FE"/>
    <w:rsid w:val="213A3985"/>
    <w:rsid w:val="213E284B"/>
    <w:rsid w:val="21577510"/>
    <w:rsid w:val="215A4B98"/>
    <w:rsid w:val="21606A0A"/>
    <w:rsid w:val="216F7CE7"/>
    <w:rsid w:val="21986C3E"/>
    <w:rsid w:val="21B87493"/>
    <w:rsid w:val="21BE1530"/>
    <w:rsid w:val="21C10A3D"/>
    <w:rsid w:val="21CE477F"/>
    <w:rsid w:val="21E21FC2"/>
    <w:rsid w:val="21EB7F04"/>
    <w:rsid w:val="21FD7606"/>
    <w:rsid w:val="22001566"/>
    <w:rsid w:val="220D13B9"/>
    <w:rsid w:val="22192027"/>
    <w:rsid w:val="223F0F06"/>
    <w:rsid w:val="2242450B"/>
    <w:rsid w:val="22453BAE"/>
    <w:rsid w:val="22523B67"/>
    <w:rsid w:val="225C58BC"/>
    <w:rsid w:val="229A2632"/>
    <w:rsid w:val="229C4140"/>
    <w:rsid w:val="22A36B16"/>
    <w:rsid w:val="22BA16E2"/>
    <w:rsid w:val="22D33263"/>
    <w:rsid w:val="22D35266"/>
    <w:rsid w:val="22DF513C"/>
    <w:rsid w:val="22F10EAE"/>
    <w:rsid w:val="22F12B28"/>
    <w:rsid w:val="23097672"/>
    <w:rsid w:val="232C0370"/>
    <w:rsid w:val="233B35C2"/>
    <w:rsid w:val="23607DE2"/>
    <w:rsid w:val="23647A30"/>
    <w:rsid w:val="23864075"/>
    <w:rsid w:val="238C6A73"/>
    <w:rsid w:val="23A14683"/>
    <w:rsid w:val="23BF7C0E"/>
    <w:rsid w:val="23CC2EB8"/>
    <w:rsid w:val="23D73D77"/>
    <w:rsid w:val="23D90C2C"/>
    <w:rsid w:val="23E01FBA"/>
    <w:rsid w:val="23EA427B"/>
    <w:rsid w:val="23F636C6"/>
    <w:rsid w:val="240E6855"/>
    <w:rsid w:val="244C6AAA"/>
    <w:rsid w:val="24540B16"/>
    <w:rsid w:val="247B017E"/>
    <w:rsid w:val="24875A2C"/>
    <w:rsid w:val="24B62301"/>
    <w:rsid w:val="24CD6BFD"/>
    <w:rsid w:val="24E179ED"/>
    <w:rsid w:val="24F96F87"/>
    <w:rsid w:val="250F2A44"/>
    <w:rsid w:val="252D4BC0"/>
    <w:rsid w:val="25583467"/>
    <w:rsid w:val="256A5F77"/>
    <w:rsid w:val="25743E32"/>
    <w:rsid w:val="257A0918"/>
    <w:rsid w:val="257C3E8D"/>
    <w:rsid w:val="25975E02"/>
    <w:rsid w:val="25B243F5"/>
    <w:rsid w:val="25BB7248"/>
    <w:rsid w:val="25C95A2E"/>
    <w:rsid w:val="25CA602F"/>
    <w:rsid w:val="25EF2298"/>
    <w:rsid w:val="25F538F2"/>
    <w:rsid w:val="26115962"/>
    <w:rsid w:val="261A696E"/>
    <w:rsid w:val="261D7E29"/>
    <w:rsid w:val="263B3556"/>
    <w:rsid w:val="26404EF1"/>
    <w:rsid w:val="26432C75"/>
    <w:rsid w:val="266015DF"/>
    <w:rsid w:val="26795443"/>
    <w:rsid w:val="267B4673"/>
    <w:rsid w:val="2699420E"/>
    <w:rsid w:val="26AC3A6A"/>
    <w:rsid w:val="26C07516"/>
    <w:rsid w:val="26D01AB5"/>
    <w:rsid w:val="26FD7713"/>
    <w:rsid w:val="2729067E"/>
    <w:rsid w:val="27486BE1"/>
    <w:rsid w:val="274B4611"/>
    <w:rsid w:val="27604855"/>
    <w:rsid w:val="27B150B0"/>
    <w:rsid w:val="27B22E94"/>
    <w:rsid w:val="27B43EA5"/>
    <w:rsid w:val="27D71B4D"/>
    <w:rsid w:val="27F01E7F"/>
    <w:rsid w:val="27F71E0B"/>
    <w:rsid w:val="282878C3"/>
    <w:rsid w:val="282B4E63"/>
    <w:rsid w:val="283D06F2"/>
    <w:rsid w:val="2889159A"/>
    <w:rsid w:val="288A2F1E"/>
    <w:rsid w:val="28EF40E2"/>
    <w:rsid w:val="28FC68AF"/>
    <w:rsid w:val="29000A4D"/>
    <w:rsid w:val="290E29F1"/>
    <w:rsid w:val="29311F82"/>
    <w:rsid w:val="294454F0"/>
    <w:rsid w:val="294A3793"/>
    <w:rsid w:val="29795A2A"/>
    <w:rsid w:val="29D64538"/>
    <w:rsid w:val="2A212AE9"/>
    <w:rsid w:val="2A2658D1"/>
    <w:rsid w:val="2A4124A3"/>
    <w:rsid w:val="2A573800"/>
    <w:rsid w:val="2A6148C0"/>
    <w:rsid w:val="2ADA6B6F"/>
    <w:rsid w:val="2AE00186"/>
    <w:rsid w:val="2AEA44FC"/>
    <w:rsid w:val="2AFD1E1D"/>
    <w:rsid w:val="2B1476E2"/>
    <w:rsid w:val="2B1E5C90"/>
    <w:rsid w:val="2B4F0023"/>
    <w:rsid w:val="2BA74800"/>
    <w:rsid w:val="2BCC359E"/>
    <w:rsid w:val="2BD236BC"/>
    <w:rsid w:val="2BD76164"/>
    <w:rsid w:val="2BEC12EB"/>
    <w:rsid w:val="2BEE0AA1"/>
    <w:rsid w:val="2C0C1DA5"/>
    <w:rsid w:val="2C2E0A7D"/>
    <w:rsid w:val="2C370F78"/>
    <w:rsid w:val="2C4D16AB"/>
    <w:rsid w:val="2C6721E1"/>
    <w:rsid w:val="2C8314BD"/>
    <w:rsid w:val="2C864DE9"/>
    <w:rsid w:val="2C8903AA"/>
    <w:rsid w:val="2C895051"/>
    <w:rsid w:val="2C8B0B3A"/>
    <w:rsid w:val="2C8F3D11"/>
    <w:rsid w:val="2CC40F61"/>
    <w:rsid w:val="2CEB4BC0"/>
    <w:rsid w:val="2CFC2245"/>
    <w:rsid w:val="2D1C5D81"/>
    <w:rsid w:val="2D403128"/>
    <w:rsid w:val="2D430559"/>
    <w:rsid w:val="2D6332E3"/>
    <w:rsid w:val="2D6D1A79"/>
    <w:rsid w:val="2D761C5B"/>
    <w:rsid w:val="2D855015"/>
    <w:rsid w:val="2DA80AA4"/>
    <w:rsid w:val="2DC05C8C"/>
    <w:rsid w:val="2DC603B0"/>
    <w:rsid w:val="2DC60572"/>
    <w:rsid w:val="2DC83473"/>
    <w:rsid w:val="2DC971A9"/>
    <w:rsid w:val="2DCE2518"/>
    <w:rsid w:val="2DD81143"/>
    <w:rsid w:val="2DF126AA"/>
    <w:rsid w:val="2DFF2D38"/>
    <w:rsid w:val="2E051BB0"/>
    <w:rsid w:val="2E424AD5"/>
    <w:rsid w:val="2E4D4EB1"/>
    <w:rsid w:val="2E63770B"/>
    <w:rsid w:val="2E7D5CEC"/>
    <w:rsid w:val="2E7F4C29"/>
    <w:rsid w:val="2E8813F1"/>
    <w:rsid w:val="2E922BF6"/>
    <w:rsid w:val="2ED3590C"/>
    <w:rsid w:val="2F42274A"/>
    <w:rsid w:val="2F532E8F"/>
    <w:rsid w:val="2F803CE6"/>
    <w:rsid w:val="2F951AC7"/>
    <w:rsid w:val="2F953FF0"/>
    <w:rsid w:val="2F9B6E53"/>
    <w:rsid w:val="2F9D37CC"/>
    <w:rsid w:val="2FB5424C"/>
    <w:rsid w:val="2FC14429"/>
    <w:rsid w:val="2FC17E5A"/>
    <w:rsid w:val="300F0BED"/>
    <w:rsid w:val="30135126"/>
    <w:rsid w:val="3029612C"/>
    <w:rsid w:val="302C14B3"/>
    <w:rsid w:val="304906D9"/>
    <w:rsid w:val="30795D57"/>
    <w:rsid w:val="30975B1C"/>
    <w:rsid w:val="309F0C17"/>
    <w:rsid w:val="30B26121"/>
    <w:rsid w:val="30C304D6"/>
    <w:rsid w:val="30D305ED"/>
    <w:rsid w:val="30DF21D8"/>
    <w:rsid w:val="30DF4A3C"/>
    <w:rsid w:val="30E35CD7"/>
    <w:rsid w:val="30EB6B90"/>
    <w:rsid w:val="31031ABB"/>
    <w:rsid w:val="31095EB7"/>
    <w:rsid w:val="311A3576"/>
    <w:rsid w:val="31210BB1"/>
    <w:rsid w:val="31597F14"/>
    <w:rsid w:val="31624FF7"/>
    <w:rsid w:val="31694894"/>
    <w:rsid w:val="31767E09"/>
    <w:rsid w:val="318740E6"/>
    <w:rsid w:val="319A2075"/>
    <w:rsid w:val="31A122DC"/>
    <w:rsid w:val="31AE453A"/>
    <w:rsid w:val="31DD0B43"/>
    <w:rsid w:val="31DE4DBF"/>
    <w:rsid w:val="31DF550D"/>
    <w:rsid w:val="31E367AE"/>
    <w:rsid w:val="31EC7184"/>
    <w:rsid w:val="31F90ACE"/>
    <w:rsid w:val="32030D9C"/>
    <w:rsid w:val="321A3FE1"/>
    <w:rsid w:val="3227616A"/>
    <w:rsid w:val="32350BDD"/>
    <w:rsid w:val="32356802"/>
    <w:rsid w:val="323745C1"/>
    <w:rsid w:val="3256600A"/>
    <w:rsid w:val="326E5139"/>
    <w:rsid w:val="327552C6"/>
    <w:rsid w:val="3281224F"/>
    <w:rsid w:val="3290321D"/>
    <w:rsid w:val="3298326D"/>
    <w:rsid w:val="329D62BB"/>
    <w:rsid w:val="32EF58AD"/>
    <w:rsid w:val="32F83B93"/>
    <w:rsid w:val="33174961"/>
    <w:rsid w:val="33257E48"/>
    <w:rsid w:val="332E1621"/>
    <w:rsid w:val="33374064"/>
    <w:rsid w:val="337D6E4D"/>
    <w:rsid w:val="33832185"/>
    <w:rsid w:val="3397632B"/>
    <w:rsid w:val="33A171DD"/>
    <w:rsid w:val="33AA6217"/>
    <w:rsid w:val="33C003F5"/>
    <w:rsid w:val="33CB7272"/>
    <w:rsid w:val="33DC34B5"/>
    <w:rsid w:val="33FD3B57"/>
    <w:rsid w:val="340E77BD"/>
    <w:rsid w:val="341F025F"/>
    <w:rsid w:val="345C0F3B"/>
    <w:rsid w:val="345F57F0"/>
    <w:rsid w:val="34725263"/>
    <w:rsid w:val="347B5922"/>
    <w:rsid w:val="348D1AFE"/>
    <w:rsid w:val="34931E83"/>
    <w:rsid w:val="34A95A08"/>
    <w:rsid w:val="34D27CD0"/>
    <w:rsid w:val="34E44D57"/>
    <w:rsid w:val="34FE1C66"/>
    <w:rsid w:val="35056D25"/>
    <w:rsid w:val="356C30E4"/>
    <w:rsid w:val="358565CB"/>
    <w:rsid w:val="35873BE8"/>
    <w:rsid w:val="359053A7"/>
    <w:rsid w:val="35A9281B"/>
    <w:rsid w:val="35CC6426"/>
    <w:rsid w:val="35D92384"/>
    <w:rsid w:val="35E368FD"/>
    <w:rsid w:val="360321A8"/>
    <w:rsid w:val="3605657F"/>
    <w:rsid w:val="360C07B5"/>
    <w:rsid w:val="36483084"/>
    <w:rsid w:val="365A26BB"/>
    <w:rsid w:val="367156B7"/>
    <w:rsid w:val="36B80EC6"/>
    <w:rsid w:val="36EF52AD"/>
    <w:rsid w:val="36FD6A43"/>
    <w:rsid w:val="370365F0"/>
    <w:rsid w:val="37160A8C"/>
    <w:rsid w:val="37230D73"/>
    <w:rsid w:val="372A182D"/>
    <w:rsid w:val="3731741A"/>
    <w:rsid w:val="3734489C"/>
    <w:rsid w:val="37377380"/>
    <w:rsid w:val="37490265"/>
    <w:rsid w:val="374D305C"/>
    <w:rsid w:val="375B24F4"/>
    <w:rsid w:val="377811B2"/>
    <w:rsid w:val="379374F6"/>
    <w:rsid w:val="379B0CD1"/>
    <w:rsid w:val="379E7D35"/>
    <w:rsid w:val="37E46E47"/>
    <w:rsid w:val="38023567"/>
    <w:rsid w:val="380D779F"/>
    <w:rsid w:val="38207CF6"/>
    <w:rsid w:val="382650BD"/>
    <w:rsid w:val="38440F4D"/>
    <w:rsid w:val="384F13C8"/>
    <w:rsid w:val="384F4255"/>
    <w:rsid w:val="3888350A"/>
    <w:rsid w:val="388F4F9A"/>
    <w:rsid w:val="38A2410F"/>
    <w:rsid w:val="38A91D3A"/>
    <w:rsid w:val="38AE6B51"/>
    <w:rsid w:val="38C621C5"/>
    <w:rsid w:val="38C764E2"/>
    <w:rsid w:val="38D66E2B"/>
    <w:rsid w:val="38EC55CD"/>
    <w:rsid w:val="391502A5"/>
    <w:rsid w:val="39300AE7"/>
    <w:rsid w:val="394B2E21"/>
    <w:rsid w:val="39643D30"/>
    <w:rsid w:val="39801BEE"/>
    <w:rsid w:val="39877520"/>
    <w:rsid w:val="398A15F5"/>
    <w:rsid w:val="39921A2C"/>
    <w:rsid w:val="399D7242"/>
    <w:rsid w:val="399E1043"/>
    <w:rsid w:val="39E029D9"/>
    <w:rsid w:val="39FA6D9E"/>
    <w:rsid w:val="39FB16BB"/>
    <w:rsid w:val="3A2B0EC0"/>
    <w:rsid w:val="3A5244D1"/>
    <w:rsid w:val="3A531D55"/>
    <w:rsid w:val="3A594774"/>
    <w:rsid w:val="3A723B3B"/>
    <w:rsid w:val="3A7B009F"/>
    <w:rsid w:val="3A98558D"/>
    <w:rsid w:val="3A993EAE"/>
    <w:rsid w:val="3ABE10DA"/>
    <w:rsid w:val="3AD76AA2"/>
    <w:rsid w:val="3AD97FA3"/>
    <w:rsid w:val="3AE71B98"/>
    <w:rsid w:val="3B180F30"/>
    <w:rsid w:val="3B223C30"/>
    <w:rsid w:val="3B4E6A46"/>
    <w:rsid w:val="3B556F95"/>
    <w:rsid w:val="3B7C6B99"/>
    <w:rsid w:val="3B855315"/>
    <w:rsid w:val="3BB735A4"/>
    <w:rsid w:val="3BBF5B96"/>
    <w:rsid w:val="3BC92571"/>
    <w:rsid w:val="3BDE13A3"/>
    <w:rsid w:val="3BFA5647"/>
    <w:rsid w:val="3C120E6A"/>
    <w:rsid w:val="3C2D6E01"/>
    <w:rsid w:val="3C556CDF"/>
    <w:rsid w:val="3C5B0B66"/>
    <w:rsid w:val="3C6A55BE"/>
    <w:rsid w:val="3C6F0014"/>
    <w:rsid w:val="3C7064F4"/>
    <w:rsid w:val="3C9B5AFB"/>
    <w:rsid w:val="3CA32DC2"/>
    <w:rsid w:val="3CB60D47"/>
    <w:rsid w:val="3CBD05D0"/>
    <w:rsid w:val="3CC71067"/>
    <w:rsid w:val="3CCC4653"/>
    <w:rsid w:val="3CCE6365"/>
    <w:rsid w:val="3CDE42C2"/>
    <w:rsid w:val="3CFC0A19"/>
    <w:rsid w:val="3CFF2AEA"/>
    <w:rsid w:val="3D0F5B30"/>
    <w:rsid w:val="3D12096F"/>
    <w:rsid w:val="3D1B24E6"/>
    <w:rsid w:val="3D1D13A2"/>
    <w:rsid w:val="3D3029C2"/>
    <w:rsid w:val="3D33111F"/>
    <w:rsid w:val="3D515006"/>
    <w:rsid w:val="3D7E738B"/>
    <w:rsid w:val="3D9372DA"/>
    <w:rsid w:val="3DCC4B8F"/>
    <w:rsid w:val="3DD15104"/>
    <w:rsid w:val="3DD94315"/>
    <w:rsid w:val="3DE87BE1"/>
    <w:rsid w:val="3DE9119F"/>
    <w:rsid w:val="3DEE01D0"/>
    <w:rsid w:val="3DF2364F"/>
    <w:rsid w:val="3E004E45"/>
    <w:rsid w:val="3E011E09"/>
    <w:rsid w:val="3E037DEE"/>
    <w:rsid w:val="3E16775C"/>
    <w:rsid w:val="3E2D328B"/>
    <w:rsid w:val="3E2D3ADD"/>
    <w:rsid w:val="3E3F24BD"/>
    <w:rsid w:val="3E4A722A"/>
    <w:rsid w:val="3E725142"/>
    <w:rsid w:val="3E7D51A9"/>
    <w:rsid w:val="3E8E1DA2"/>
    <w:rsid w:val="3E916A5A"/>
    <w:rsid w:val="3E924510"/>
    <w:rsid w:val="3EA82911"/>
    <w:rsid w:val="3EAD660D"/>
    <w:rsid w:val="3EBC4E0C"/>
    <w:rsid w:val="3EBE3D30"/>
    <w:rsid w:val="3EBE688D"/>
    <w:rsid w:val="3EE375AA"/>
    <w:rsid w:val="3EF257D5"/>
    <w:rsid w:val="3EF35980"/>
    <w:rsid w:val="3F1C71D8"/>
    <w:rsid w:val="3F3348D1"/>
    <w:rsid w:val="3F456E1B"/>
    <w:rsid w:val="3F580EFE"/>
    <w:rsid w:val="3F620D12"/>
    <w:rsid w:val="3F757605"/>
    <w:rsid w:val="3FA71E53"/>
    <w:rsid w:val="3FA93517"/>
    <w:rsid w:val="3FB92672"/>
    <w:rsid w:val="3FCC2890"/>
    <w:rsid w:val="3FD70CAC"/>
    <w:rsid w:val="3FE95A65"/>
    <w:rsid w:val="3FF4481B"/>
    <w:rsid w:val="400413F2"/>
    <w:rsid w:val="40550877"/>
    <w:rsid w:val="405530E4"/>
    <w:rsid w:val="4057639D"/>
    <w:rsid w:val="40603889"/>
    <w:rsid w:val="406421C8"/>
    <w:rsid w:val="408B4299"/>
    <w:rsid w:val="40BA53B8"/>
    <w:rsid w:val="40D07EFD"/>
    <w:rsid w:val="40E165AE"/>
    <w:rsid w:val="40E22A0F"/>
    <w:rsid w:val="40F12090"/>
    <w:rsid w:val="40F36A4C"/>
    <w:rsid w:val="41160006"/>
    <w:rsid w:val="4127761A"/>
    <w:rsid w:val="412B252C"/>
    <w:rsid w:val="413B0649"/>
    <w:rsid w:val="413B7A6D"/>
    <w:rsid w:val="4153468A"/>
    <w:rsid w:val="4159761B"/>
    <w:rsid w:val="416A3AC0"/>
    <w:rsid w:val="41895615"/>
    <w:rsid w:val="41910115"/>
    <w:rsid w:val="41B31CF9"/>
    <w:rsid w:val="41BA4060"/>
    <w:rsid w:val="41BC7D4B"/>
    <w:rsid w:val="41C70D67"/>
    <w:rsid w:val="41D33FF9"/>
    <w:rsid w:val="41F70D38"/>
    <w:rsid w:val="41F93B45"/>
    <w:rsid w:val="422C6789"/>
    <w:rsid w:val="42372C80"/>
    <w:rsid w:val="423D5D3E"/>
    <w:rsid w:val="425F3242"/>
    <w:rsid w:val="42B8327D"/>
    <w:rsid w:val="42ED682D"/>
    <w:rsid w:val="42F0520E"/>
    <w:rsid w:val="430B2902"/>
    <w:rsid w:val="431B5DA8"/>
    <w:rsid w:val="431C7624"/>
    <w:rsid w:val="43214BBC"/>
    <w:rsid w:val="43371D8D"/>
    <w:rsid w:val="433A1D55"/>
    <w:rsid w:val="433D2264"/>
    <w:rsid w:val="433E0077"/>
    <w:rsid w:val="434D3A87"/>
    <w:rsid w:val="435463A4"/>
    <w:rsid w:val="43650DD1"/>
    <w:rsid w:val="436726B5"/>
    <w:rsid w:val="439273CB"/>
    <w:rsid w:val="439A6B87"/>
    <w:rsid w:val="43A8560D"/>
    <w:rsid w:val="43D61518"/>
    <w:rsid w:val="43F403A7"/>
    <w:rsid w:val="441A32DB"/>
    <w:rsid w:val="442C5396"/>
    <w:rsid w:val="44345173"/>
    <w:rsid w:val="443B3C2E"/>
    <w:rsid w:val="4460151D"/>
    <w:rsid w:val="4469669F"/>
    <w:rsid w:val="44A627CC"/>
    <w:rsid w:val="44AD4091"/>
    <w:rsid w:val="44B61E0D"/>
    <w:rsid w:val="44D00C52"/>
    <w:rsid w:val="44D24AA9"/>
    <w:rsid w:val="44D2650B"/>
    <w:rsid w:val="44D775CB"/>
    <w:rsid w:val="44E829DD"/>
    <w:rsid w:val="450C277A"/>
    <w:rsid w:val="451642F6"/>
    <w:rsid w:val="45270B59"/>
    <w:rsid w:val="4545456F"/>
    <w:rsid w:val="454C7BFE"/>
    <w:rsid w:val="454E5FCD"/>
    <w:rsid w:val="45562E35"/>
    <w:rsid w:val="456164E8"/>
    <w:rsid w:val="456622C0"/>
    <w:rsid w:val="45784023"/>
    <w:rsid w:val="457E261E"/>
    <w:rsid w:val="45855CD6"/>
    <w:rsid w:val="458B54AD"/>
    <w:rsid w:val="45C63289"/>
    <w:rsid w:val="45CF1E73"/>
    <w:rsid w:val="45D96A26"/>
    <w:rsid w:val="45DD3120"/>
    <w:rsid w:val="45EC1828"/>
    <w:rsid w:val="4622744D"/>
    <w:rsid w:val="46282C26"/>
    <w:rsid w:val="463B5BC5"/>
    <w:rsid w:val="467025FE"/>
    <w:rsid w:val="468A6DA0"/>
    <w:rsid w:val="468A7B42"/>
    <w:rsid w:val="46B64F8A"/>
    <w:rsid w:val="46D63D94"/>
    <w:rsid w:val="46E040D0"/>
    <w:rsid w:val="46F30C6D"/>
    <w:rsid w:val="471072A6"/>
    <w:rsid w:val="472970A3"/>
    <w:rsid w:val="47841291"/>
    <w:rsid w:val="478815A4"/>
    <w:rsid w:val="47956B8B"/>
    <w:rsid w:val="47A479CC"/>
    <w:rsid w:val="48144180"/>
    <w:rsid w:val="481E5F94"/>
    <w:rsid w:val="484020B6"/>
    <w:rsid w:val="48486A94"/>
    <w:rsid w:val="48743864"/>
    <w:rsid w:val="48825F81"/>
    <w:rsid w:val="48BC308B"/>
    <w:rsid w:val="48BF2D31"/>
    <w:rsid w:val="48F07F74"/>
    <w:rsid w:val="48F469A5"/>
    <w:rsid w:val="48F855DB"/>
    <w:rsid w:val="490E5A67"/>
    <w:rsid w:val="49187AC7"/>
    <w:rsid w:val="491A4D01"/>
    <w:rsid w:val="49547B0C"/>
    <w:rsid w:val="49832B0D"/>
    <w:rsid w:val="49BB7388"/>
    <w:rsid w:val="49D835B1"/>
    <w:rsid w:val="4A0E0A59"/>
    <w:rsid w:val="4A332B57"/>
    <w:rsid w:val="4A6E4B59"/>
    <w:rsid w:val="4A91498E"/>
    <w:rsid w:val="4AAF7BFB"/>
    <w:rsid w:val="4AB4387E"/>
    <w:rsid w:val="4ABA5EA6"/>
    <w:rsid w:val="4AC44F38"/>
    <w:rsid w:val="4AE03C1B"/>
    <w:rsid w:val="4AE47CF8"/>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5409A4"/>
    <w:rsid w:val="4C5C3F8B"/>
    <w:rsid w:val="4C642F84"/>
    <w:rsid w:val="4C976993"/>
    <w:rsid w:val="4C9802BB"/>
    <w:rsid w:val="4C9F2B28"/>
    <w:rsid w:val="4CC1579B"/>
    <w:rsid w:val="4CCB1397"/>
    <w:rsid w:val="4D212819"/>
    <w:rsid w:val="4D3527AD"/>
    <w:rsid w:val="4D3D00F7"/>
    <w:rsid w:val="4D45291A"/>
    <w:rsid w:val="4D456EA9"/>
    <w:rsid w:val="4D602609"/>
    <w:rsid w:val="4D65056D"/>
    <w:rsid w:val="4D6D1ECD"/>
    <w:rsid w:val="4D7D7EB9"/>
    <w:rsid w:val="4D9F2D03"/>
    <w:rsid w:val="4DA876D4"/>
    <w:rsid w:val="4DBD2619"/>
    <w:rsid w:val="4DBD71DB"/>
    <w:rsid w:val="4DC56EC8"/>
    <w:rsid w:val="4DD320C8"/>
    <w:rsid w:val="4DEA3E7D"/>
    <w:rsid w:val="4E1B6168"/>
    <w:rsid w:val="4E2D4BE1"/>
    <w:rsid w:val="4E467A51"/>
    <w:rsid w:val="4E5E123E"/>
    <w:rsid w:val="4E830D12"/>
    <w:rsid w:val="4EA25C5C"/>
    <w:rsid w:val="4EBB6F92"/>
    <w:rsid w:val="4EC217CD"/>
    <w:rsid w:val="4EC605D7"/>
    <w:rsid w:val="4EDB3C52"/>
    <w:rsid w:val="4EE929C6"/>
    <w:rsid w:val="4EEF5154"/>
    <w:rsid w:val="4EF56C32"/>
    <w:rsid w:val="4F0911AA"/>
    <w:rsid w:val="4F1061EC"/>
    <w:rsid w:val="4F2C293C"/>
    <w:rsid w:val="4F506DD9"/>
    <w:rsid w:val="4F5D3A49"/>
    <w:rsid w:val="4F616B49"/>
    <w:rsid w:val="4F653C85"/>
    <w:rsid w:val="4FB8672C"/>
    <w:rsid w:val="4FBC6DB3"/>
    <w:rsid w:val="4FDA66A3"/>
    <w:rsid w:val="4FDC1180"/>
    <w:rsid w:val="4FEB6140"/>
    <w:rsid w:val="4FF95928"/>
    <w:rsid w:val="500914CD"/>
    <w:rsid w:val="501A73E7"/>
    <w:rsid w:val="503A2B90"/>
    <w:rsid w:val="506B6FE0"/>
    <w:rsid w:val="50737725"/>
    <w:rsid w:val="50761B9F"/>
    <w:rsid w:val="50776D06"/>
    <w:rsid w:val="50804D96"/>
    <w:rsid w:val="508220D9"/>
    <w:rsid w:val="508F3C68"/>
    <w:rsid w:val="50D951B9"/>
    <w:rsid w:val="5107548C"/>
    <w:rsid w:val="51452242"/>
    <w:rsid w:val="514A376F"/>
    <w:rsid w:val="51551400"/>
    <w:rsid w:val="51765264"/>
    <w:rsid w:val="518C60C3"/>
    <w:rsid w:val="51AD17C9"/>
    <w:rsid w:val="51BA4D0B"/>
    <w:rsid w:val="51BF4C79"/>
    <w:rsid w:val="51C57A7C"/>
    <w:rsid w:val="51D56F72"/>
    <w:rsid w:val="51DE5E73"/>
    <w:rsid w:val="51F04BAA"/>
    <w:rsid w:val="52100B89"/>
    <w:rsid w:val="52185FCE"/>
    <w:rsid w:val="521F50B2"/>
    <w:rsid w:val="52304CA0"/>
    <w:rsid w:val="5233392E"/>
    <w:rsid w:val="52462715"/>
    <w:rsid w:val="52560171"/>
    <w:rsid w:val="525C28F3"/>
    <w:rsid w:val="52785A61"/>
    <w:rsid w:val="528A3533"/>
    <w:rsid w:val="528D1C08"/>
    <w:rsid w:val="528D5686"/>
    <w:rsid w:val="52962066"/>
    <w:rsid w:val="52B4142D"/>
    <w:rsid w:val="52C06606"/>
    <w:rsid w:val="52C66A7C"/>
    <w:rsid w:val="52D01FDF"/>
    <w:rsid w:val="52FB705C"/>
    <w:rsid w:val="5315682A"/>
    <w:rsid w:val="5316709F"/>
    <w:rsid w:val="53226CDE"/>
    <w:rsid w:val="5338205E"/>
    <w:rsid w:val="5338454D"/>
    <w:rsid w:val="533C446C"/>
    <w:rsid w:val="534704F3"/>
    <w:rsid w:val="53536E98"/>
    <w:rsid w:val="5380249C"/>
    <w:rsid w:val="538A3DAA"/>
    <w:rsid w:val="53A771E4"/>
    <w:rsid w:val="53D0546E"/>
    <w:rsid w:val="53D43A7A"/>
    <w:rsid w:val="53DB008F"/>
    <w:rsid w:val="53F00B8B"/>
    <w:rsid w:val="541A5C08"/>
    <w:rsid w:val="541E2959"/>
    <w:rsid w:val="542645AC"/>
    <w:rsid w:val="542A2766"/>
    <w:rsid w:val="54407D28"/>
    <w:rsid w:val="5463310B"/>
    <w:rsid w:val="546809C3"/>
    <w:rsid w:val="54686A74"/>
    <w:rsid w:val="54A40765"/>
    <w:rsid w:val="54AD1AA9"/>
    <w:rsid w:val="54DD6FE3"/>
    <w:rsid w:val="5503044A"/>
    <w:rsid w:val="550B2C97"/>
    <w:rsid w:val="550C25F6"/>
    <w:rsid w:val="550D7D43"/>
    <w:rsid w:val="551A4D4B"/>
    <w:rsid w:val="552C4E53"/>
    <w:rsid w:val="553C58A3"/>
    <w:rsid w:val="5563546E"/>
    <w:rsid w:val="556D697F"/>
    <w:rsid w:val="55782BE6"/>
    <w:rsid w:val="55EC2C79"/>
    <w:rsid w:val="560F5B43"/>
    <w:rsid w:val="56106CE3"/>
    <w:rsid w:val="56140AF5"/>
    <w:rsid w:val="5621502B"/>
    <w:rsid w:val="56293017"/>
    <w:rsid w:val="56352B49"/>
    <w:rsid w:val="564E7CA4"/>
    <w:rsid w:val="56560192"/>
    <w:rsid w:val="56622217"/>
    <w:rsid w:val="56683035"/>
    <w:rsid w:val="56C3379B"/>
    <w:rsid w:val="56E11A08"/>
    <w:rsid w:val="575E4B81"/>
    <w:rsid w:val="576F0018"/>
    <w:rsid w:val="57830771"/>
    <w:rsid w:val="57880DB6"/>
    <w:rsid w:val="578F7037"/>
    <w:rsid w:val="57B1656F"/>
    <w:rsid w:val="57B25122"/>
    <w:rsid w:val="57BA1393"/>
    <w:rsid w:val="57C11FCB"/>
    <w:rsid w:val="57D20B1A"/>
    <w:rsid w:val="57E740DE"/>
    <w:rsid w:val="58070251"/>
    <w:rsid w:val="58313520"/>
    <w:rsid w:val="584A119C"/>
    <w:rsid w:val="58962B1F"/>
    <w:rsid w:val="58AB30EC"/>
    <w:rsid w:val="58C779E0"/>
    <w:rsid w:val="58DA03D3"/>
    <w:rsid w:val="58EA0F1E"/>
    <w:rsid w:val="592130AC"/>
    <w:rsid w:val="59255BE0"/>
    <w:rsid w:val="592B61C1"/>
    <w:rsid w:val="59450855"/>
    <w:rsid w:val="597F7976"/>
    <w:rsid w:val="5989229C"/>
    <w:rsid w:val="5996188C"/>
    <w:rsid w:val="59B77E1F"/>
    <w:rsid w:val="59B969AF"/>
    <w:rsid w:val="59C94812"/>
    <w:rsid w:val="59DA7D0F"/>
    <w:rsid w:val="59DE4FE1"/>
    <w:rsid w:val="59FD32F3"/>
    <w:rsid w:val="5A00746C"/>
    <w:rsid w:val="5A215B83"/>
    <w:rsid w:val="5A2E1325"/>
    <w:rsid w:val="5A814DBE"/>
    <w:rsid w:val="5A8718DC"/>
    <w:rsid w:val="5A932270"/>
    <w:rsid w:val="5A9E6296"/>
    <w:rsid w:val="5A9F33C9"/>
    <w:rsid w:val="5AB50438"/>
    <w:rsid w:val="5AD15085"/>
    <w:rsid w:val="5AE2268C"/>
    <w:rsid w:val="5AED1980"/>
    <w:rsid w:val="5B043935"/>
    <w:rsid w:val="5B092532"/>
    <w:rsid w:val="5B260C7C"/>
    <w:rsid w:val="5B48714E"/>
    <w:rsid w:val="5B687259"/>
    <w:rsid w:val="5B6B3551"/>
    <w:rsid w:val="5B8A2CDB"/>
    <w:rsid w:val="5B8C7D6C"/>
    <w:rsid w:val="5B974C66"/>
    <w:rsid w:val="5BA34735"/>
    <w:rsid w:val="5BAF2BC1"/>
    <w:rsid w:val="5BCB750F"/>
    <w:rsid w:val="5BE022CB"/>
    <w:rsid w:val="5BFF22D3"/>
    <w:rsid w:val="5C013209"/>
    <w:rsid w:val="5C1D0736"/>
    <w:rsid w:val="5C8118C1"/>
    <w:rsid w:val="5C853E3A"/>
    <w:rsid w:val="5CD814DE"/>
    <w:rsid w:val="5CDC4040"/>
    <w:rsid w:val="5D377AC1"/>
    <w:rsid w:val="5D485594"/>
    <w:rsid w:val="5D647EF4"/>
    <w:rsid w:val="5D76013F"/>
    <w:rsid w:val="5D903607"/>
    <w:rsid w:val="5D9F6BFC"/>
    <w:rsid w:val="5DAF73C1"/>
    <w:rsid w:val="5DB306DA"/>
    <w:rsid w:val="5DB524FD"/>
    <w:rsid w:val="5DB944F7"/>
    <w:rsid w:val="5DBB5D65"/>
    <w:rsid w:val="5DDA45C0"/>
    <w:rsid w:val="5E053647"/>
    <w:rsid w:val="5E113BD7"/>
    <w:rsid w:val="5E3923F5"/>
    <w:rsid w:val="5E3F70B2"/>
    <w:rsid w:val="5E4915C3"/>
    <w:rsid w:val="5E626589"/>
    <w:rsid w:val="5E6767D9"/>
    <w:rsid w:val="5E9E66DE"/>
    <w:rsid w:val="5EA00288"/>
    <w:rsid w:val="5EBF1885"/>
    <w:rsid w:val="5EC0589E"/>
    <w:rsid w:val="5EDF5A84"/>
    <w:rsid w:val="5F0A1F1D"/>
    <w:rsid w:val="5F340B08"/>
    <w:rsid w:val="5F3F23BB"/>
    <w:rsid w:val="5F5020C2"/>
    <w:rsid w:val="5F631E13"/>
    <w:rsid w:val="5F637D66"/>
    <w:rsid w:val="5F661D01"/>
    <w:rsid w:val="5F885BCF"/>
    <w:rsid w:val="5F9E2255"/>
    <w:rsid w:val="5FA50C8C"/>
    <w:rsid w:val="5FC56B51"/>
    <w:rsid w:val="5FCF3EC8"/>
    <w:rsid w:val="5FD31303"/>
    <w:rsid w:val="5FD5360B"/>
    <w:rsid w:val="5FD84A9F"/>
    <w:rsid w:val="5FE838DE"/>
    <w:rsid w:val="5FF40BE0"/>
    <w:rsid w:val="600372EC"/>
    <w:rsid w:val="601F61B9"/>
    <w:rsid w:val="6028330A"/>
    <w:rsid w:val="603F1724"/>
    <w:rsid w:val="60620E8B"/>
    <w:rsid w:val="609F6BB5"/>
    <w:rsid w:val="60D648BD"/>
    <w:rsid w:val="60E0280F"/>
    <w:rsid w:val="60FB0B6F"/>
    <w:rsid w:val="610B7004"/>
    <w:rsid w:val="6115578D"/>
    <w:rsid w:val="614507B6"/>
    <w:rsid w:val="61533568"/>
    <w:rsid w:val="61734BA9"/>
    <w:rsid w:val="617701F5"/>
    <w:rsid w:val="61B12548"/>
    <w:rsid w:val="61B905BF"/>
    <w:rsid w:val="61BA6334"/>
    <w:rsid w:val="61C147ED"/>
    <w:rsid w:val="61E66498"/>
    <w:rsid w:val="61F37A2B"/>
    <w:rsid w:val="61FB6E70"/>
    <w:rsid w:val="623F72F3"/>
    <w:rsid w:val="6260512D"/>
    <w:rsid w:val="626544F2"/>
    <w:rsid w:val="62687681"/>
    <w:rsid w:val="626B2577"/>
    <w:rsid w:val="626D0AAD"/>
    <w:rsid w:val="62740BD9"/>
    <w:rsid w:val="62951EAB"/>
    <w:rsid w:val="629A77C4"/>
    <w:rsid w:val="62C113E6"/>
    <w:rsid w:val="62D42C39"/>
    <w:rsid w:val="62D84F52"/>
    <w:rsid w:val="62DB32CF"/>
    <w:rsid w:val="63263F3F"/>
    <w:rsid w:val="632C402D"/>
    <w:rsid w:val="634132DF"/>
    <w:rsid w:val="63506129"/>
    <w:rsid w:val="6355792A"/>
    <w:rsid w:val="63673F82"/>
    <w:rsid w:val="637B37F4"/>
    <w:rsid w:val="639257BA"/>
    <w:rsid w:val="639A44C1"/>
    <w:rsid w:val="639C4DF2"/>
    <w:rsid w:val="639C513F"/>
    <w:rsid w:val="63A1123C"/>
    <w:rsid w:val="63A91FCC"/>
    <w:rsid w:val="63DB3FB5"/>
    <w:rsid w:val="63E3295D"/>
    <w:rsid w:val="63E559AB"/>
    <w:rsid w:val="63FC5AE3"/>
    <w:rsid w:val="6401692D"/>
    <w:rsid w:val="640815D9"/>
    <w:rsid w:val="641622A7"/>
    <w:rsid w:val="641D7082"/>
    <w:rsid w:val="643F22FE"/>
    <w:rsid w:val="644105DB"/>
    <w:rsid w:val="644243B8"/>
    <w:rsid w:val="648132C7"/>
    <w:rsid w:val="64906592"/>
    <w:rsid w:val="64A023DE"/>
    <w:rsid w:val="64A84B6A"/>
    <w:rsid w:val="64C24883"/>
    <w:rsid w:val="64C9072A"/>
    <w:rsid w:val="64D616D7"/>
    <w:rsid w:val="64E8140A"/>
    <w:rsid w:val="656C1925"/>
    <w:rsid w:val="656C7082"/>
    <w:rsid w:val="657D1B52"/>
    <w:rsid w:val="657E37B3"/>
    <w:rsid w:val="657F630E"/>
    <w:rsid w:val="65A0248C"/>
    <w:rsid w:val="65BD7661"/>
    <w:rsid w:val="65C741F1"/>
    <w:rsid w:val="65F27082"/>
    <w:rsid w:val="660C65A4"/>
    <w:rsid w:val="662277E8"/>
    <w:rsid w:val="66322BA5"/>
    <w:rsid w:val="665F39EB"/>
    <w:rsid w:val="66751CE5"/>
    <w:rsid w:val="669971F6"/>
    <w:rsid w:val="66A30481"/>
    <w:rsid w:val="66A54284"/>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950386"/>
    <w:rsid w:val="679B2764"/>
    <w:rsid w:val="67AB4A07"/>
    <w:rsid w:val="67D671E7"/>
    <w:rsid w:val="67E205A1"/>
    <w:rsid w:val="67E978F8"/>
    <w:rsid w:val="67EC3982"/>
    <w:rsid w:val="67EE0E14"/>
    <w:rsid w:val="68030005"/>
    <w:rsid w:val="681A5D7E"/>
    <w:rsid w:val="684B7EA4"/>
    <w:rsid w:val="68525D99"/>
    <w:rsid w:val="68577AE5"/>
    <w:rsid w:val="686D5F80"/>
    <w:rsid w:val="68917132"/>
    <w:rsid w:val="689734BD"/>
    <w:rsid w:val="68A14C0D"/>
    <w:rsid w:val="68AD205B"/>
    <w:rsid w:val="68B856E1"/>
    <w:rsid w:val="68CA292A"/>
    <w:rsid w:val="68F04F75"/>
    <w:rsid w:val="68F14D31"/>
    <w:rsid w:val="68F53477"/>
    <w:rsid w:val="6922138F"/>
    <w:rsid w:val="69265661"/>
    <w:rsid w:val="692E096F"/>
    <w:rsid w:val="69360704"/>
    <w:rsid w:val="69490149"/>
    <w:rsid w:val="696C260A"/>
    <w:rsid w:val="69B231FD"/>
    <w:rsid w:val="69BB4ADC"/>
    <w:rsid w:val="69C82DA7"/>
    <w:rsid w:val="6A197ABD"/>
    <w:rsid w:val="6A4D5FF3"/>
    <w:rsid w:val="6A503012"/>
    <w:rsid w:val="6A615A8D"/>
    <w:rsid w:val="6A794FDE"/>
    <w:rsid w:val="6A7F2529"/>
    <w:rsid w:val="6A980A69"/>
    <w:rsid w:val="6AA3205B"/>
    <w:rsid w:val="6AC42C22"/>
    <w:rsid w:val="6AF26B3F"/>
    <w:rsid w:val="6B2E0520"/>
    <w:rsid w:val="6B633598"/>
    <w:rsid w:val="6B6D0A30"/>
    <w:rsid w:val="6B7164B9"/>
    <w:rsid w:val="6B826114"/>
    <w:rsid w:val="6B95409A"/>
    <w:rsid w:val="6BE80FAB"/>
    <w:rsid w:val="6BEC3CBA"/>
    <w:rsid w:val="6BEE2087"/>
    <w:rsid w:val="6BEF1585"/>
    <w:rsid w:val="6BF32B3B"/>
    <w:rsid w:val="6C525289"/>
    <w:rsid w:val="6C56658C"/>
    <w:rsid w:val="6C642948"/>
    <w:rsid w:val="6C663340"/>
    <w:rsid w:val="6C910CB6"/>
    <w:rsid w:val="6C9F7A56"/>
    <w:rsid w:val="6CA200F0"/>
    <w:rsid w:val="6CD03F54"/>
    <w:rsid w:val="6D054B70"/>
    <w:rsid w:val="6D15200A"/>
    <w:rsid w:val="6D1B7997"/>
    <w:rsid w:val="6D30394E"/>
    <w:rsid w:val="6D3E73FE"/>
    <w:rsid w:val="6D497BF3"/>
    <w:rsid w:val="6D6C376E"/>
    <w:rsid w:val="6D6D06FE"/>
    <w:rsid w:val="6D917297"/>
    <w:rsid w:val="6DA86F37"/>
    <w:rsid w:val="6DB175E8"/>
    <w:rsid w:val="6DC4078E"/>
    <w:rsid w:val="6DD82E6F"/>
    <w:rsid w:val="6DF8036A"/>
    <w:rsid w:val="6DFB7D5C"/>
    <w:rsid w:val="6DFC0FA6"/>
    <w:rsid w:val="6DFE2388"/>
    <w:rsid w:val="6E020473"/>
    <w:rsid w:val="6E2313F4"/>
    <w:rsid w:val="6E4143A7"/>
    <w:rsid w:val="6E723CE4"/>
    <w:rsid w:val="6E8910F9"/>
    <w:rsid w:val="6E91666F"/>
    <w:rsid w:val="6E9E6D02"/>
    <w:rsid w:val="6EA14806"/>
    <w:rsid w:val="6EB47B1E"/>
    <w:rsid w:val="6EBE1A25"/>
    <w:rsid w:val="6EBF2FFC"/>
    <w:rsid w:val="6EC03D92"/>
    <w:rsid w:val="6EC14DF6"/>
    <w:rsid w:val="6ED1521F"/>
    <w:rsid w:val="6EF13B31"/>
    <w:rsid w:val="6F0B4673"/>
    <w:rsid w:val="6F194DE9"/>
    <w:rsid w:val="6F2006A7"/>
    <w:rsid w:val="6F27315B"/>
    <w:rsid w:val="6F331E8C"/>
    <w:rsid w:val="6F414857"/>
    <w:rsid w:val="6F5558EE"/>
    <w:rsid w:val="6F6B17AC"/>
    <w:rsid w:val="6F90501F"/>
    <w:rsid w:val="6FA80114"/>
    <w:rsid w:val="6FC53640"/>
    <w:rsid w:val="6FEA5EFF"/>
    <w:rsid w:val="7000533D"/>
    <w:rsid w:val="700A2656"/>
    <w:rsid w:val="700E6F9B"/>
    <w:rsid w:val="701832BD"/>
    <w:rsid w:val="70363BBF"/>
    <w:rsid w:val="703D6AAE"/>
    <w:rsid w:val="706C7393"/>
    <w:rsid w:val="706D6DE5"/>
    <w:rsid w:val="707729DB"/>
    <w:rsid w:val="709660FC"/>
    <w:rsid w:val="709E110E"/>
    <w:rsid w:val="70AA060B"/>
    <w:rsid w:val="70BF6CB1"/>
    <w:rsid w:val="70C63613"/>
    <w:rsid w:val="70CC1BE0"/>
    <w:rsid w:val="70DE532B"/>
    <w:rsid w:val="70F14C92"/>
    <w:rsid w:val="71244BCB"/>
    <w:rsid w:val="713C1469"/>
    <w:rsid w:val="71687B5B"/>
    <w:rsid w:val="71771B4C"/>
    <w:rsid w:val="71777C1F"/>
    <w:rsid w:val="71C01F58"/>
    <w:rsid w:val="720C2BDC"/>
    <w:rsid w:val="722E4900"/>
    <w:rsid w:val="722E78BF"/>
    <w:rsid w:val="72535CB3"/>
    <w:rsid w:val="72601582"/>
    <w:rsid w:val="726105EC"/>
    <w:rsid w:val="726E54DD"/>
    <w:rsid w:val="72A2430F"/>
    <w:rsid w:val="72A3091A"/>
    <w:rsid w:val="72A65EE7"/>
    <w:rsid w:val="72B92879"/>
    <w:rsid w:val="72BE7F8F"/>
    <w:rsid w:val="72C6583F"/>
    <w:rsid w:val="72D134DE"/>
    <w:rsid w:val="72D22244"/>
    <w:rsid w:val="72D42A57"/>
    <w:rsid w:val="72EE1403"/>
    <w:rsid w:val="72FD0776"/>
    <w:rsid w:val="730055E4"/>
    <w:rsid w:val="73065F55"/>
    <w:rsid w:val="730B44CC"/>
    <w:rsid w:val="7318110C"/>
    <w:rsid w:val="73610C3C"/>
    <w:rsid w:val="736224F9"/>
    <w:rsid w:val="73677EED"/>
    <w:rsid w:val="73697BBA"/>
    <w:rsid w:val="736D3206"/>
    <w:rsid w:val="73763936"/>
    <w:rsid w:val="73AB5F07"/>
    <w:rsid w:val="74046AE0"/>
    <w:rsid w:val="740E49D2"/>
    <w:rsid w:val="743256E2"/>
    <w:rsid w:val="74432492"/>
    <w:rsid w:val="744C3893"/>
    <w:rsid w:val="74503106"/>
    <w:rsid w:val="74793E2D"/>
    <w:rsid w:val="748D05FE"/>
    <w:rsid w:val="74904F5A"/>
    <w:rsid w:val="74933A6B"/>
    <w:rsid w:val="74AC1655"/>
    <w:rsid w:val="74BD7A58"/>
    <w:rsid w:val="74C4007A"/>
    <w:rsid w:val="74E025AC"/>
    <w:rsid w:val="74F13428"/>
    <w:rsid w:val="750116AA"/>
    <w:rsid w:val="75073709"/>
    <w:rsid w:val="750816EA"/>
    <w:rsid w:val="750F2972"/>
    <w:rsid w:val="753A7B6F"/>
    <w:rsid w:val="755820E5"/>
    <w:rsid w:val="756F6C3E"/>
    <w:rsid w:val="75740598"/>
    <w:rsid w:val="75746B39"/>
    <w:rsid w:val="75776D67"/>
    <w:rsid w:val="758331B5"/>
    <w:rsid w:val="75977D48"/>
    <w:rsid w:val="759F3AEC"/>
    <w:rsid w:val="75A32CD3"/>
    <w:rsid w:val="75A43018"/>
    <w:rsid w:val="75B722A8"/>
    <w:rsid w:val="75CA1CF2"/>
    <w:rsid w:val="75E031FF"/>
    <w:rsid w:val="75FB05B5"/>
    <w:rsid w:val="75FE0616"/>
    <w:rsid w:val="760910BF"/>
    <w:rsid w:val="763B7516"/>
    <w:rsid w:val="765663F6"/>
    <w:rsid w:val="76AA29C3"/>
    <w:rsid w:val="76BA0E58"/>
    <w:rsid w:val="76E51203"/>
    <w:rsid w:val="76E52476"/>
    <w:rsid w:val="771012B7"/>
    <w:rsid w:val="772C5186"/>
    <w:rsid w:val="773F0D3E"/>
    <w:rsid w:val="77413FFC"/>
    <w:rsid w:val="775E7605"/>
    <w:rsid w:val="777F5BFE"/>
    <w:rsid w:val="778C6877"/>
    <w:rsid w:val="779C40BA"/>
    <w:rsid w:val="779C410A"/>
    <w:rsid w:val="77B26915"/>
    <w:rsid w:val="77D21129"/>
    <w:rsid w:val="77D472A1"/>
    <w:rsid w:val="77EC6F96"/>
    <w:rsid w:val="77F60C91"/>
    <w:rsid w:val="78041D25"/>
    <w:rsid w:val="78060F3D"/>
    <w:rsid w:val="78356715"/>
    <w:rsid w:val="783C3AEF"/>
    <w:rsid w:val="7852288B"/>
    <w:rsid w:val="787E5EB6"/>
    <w:rsid w:val="7883011B"/>
    <w:rsid w:val="78D37129"/>
    <w:rsid w:val="79140A42"/>
    <w:rsid w:val="7922312F"/>
    <w:rsid w:val="792C68D0"/>
    <w:rsid w:val="794F15B9"/>
    <w:rsid w:val="79952474"/>
    <w:rsid w:val="799B6894"/>
    <w:rsid w:val="79A2762D"/>
    <w:rsid w:val="79A358D7"/>
    <w:rsid w:val="79B37DE1"/>
    <w:rsid w:val="79B5302A"/>
    <w:rsid w:val="79C31852"/>
    <w:rsid w:val="79C370D7"/>
    <w:rsid w:val="79D35D8D"/>
    <w:rsid w:val="79E668F6"/>
    <w:rsid w:val="79ED5673"/>
    <w:rsid w:val="79EE46E0"/>
    <w:rsid w:val="79FB10E0"/>
    <w:rsid w:val="7A072443"/>
    <w:rsid w:val="7A110938"/>
    <w:rsid w:val="7A170370"/>
    <w:rsid w:val="7A235120"/>
    <w:rsid w:val="7A2741EC"/>
    <w:rsid w:val="7A361F18"/>
    <w:rsid w:val="7A772BBC"/>
    <w:rsid w:val="7A7E37E0"/>
    <w:rsid w:val="7A841359"/>
    <w:rsid w:val="7A8D60AA"/>
    <w:rsid w:val="7AA87D65"/>
    <w:rsid w:val="7AD37E40"/>
    <w:rsid w:val="7ADF476F"/>
    <w:rsid w:val="7B0855DA"/>
    <w:rsid w:val="7B2E1248"/>
    <w:rsid w:val="7B366F41"/>
    <w:rsid w:val="7B39413F"/>
    <w:rsid w:val="7B4C4049"/>
    <w:rsid w:val="7B53032D"/>
    <w:rsid w:val="7B574BAA"/>
    <w:rsid w:val="7B753D96"/>
    <w:rsid w:val="7B7B048A"/>
    <w:rsid w:val="7B897830"/>
    <w:rsid w:val="7B9A7651"/>
    <w:rsid w:val="7BA56F83"/>
    <w:rsid w:val="7BA62ECA"/>
    <w:rsid w:val="7BA9679C"/>
    <w:rsid w:val="7BC2255D"/>
    <w:rsid w:val="7BCC6F38"/>
    <w:rsid w:val="7BD36518"/>
    <w:rsid w:val="7BDE117C"/>
    <w:rsid w:val="7BFF10BB"/>
    <w:rsid w:val="7C391E4E"/>
    <w:rsid w:val="7C400614"/>
    <w:rsid w:val="7C5533D1"/>
    <w:rsid w:val="7C5C7E0A"/>
    <w:rsid w:val="7C765821"/>
    <w:rsid w:val="7C7B0082"/>
    <w:rsid w:val="7C8571DD"/>
    <w:rsid w:val="7C9910EE"/>
    <w:rsid w:val="7C991510"/>
    <w:rsid w:val="7C9A0A16"/>
    <w:rsid w:val="7CB14B1C"/>
    <w:rsid w:val="7CBD1C77"/>
    <w:rsid w:val="7CBD202D"/>
    <w:rsid w:val="7CBD5D6A"/>
    <w:rsid w:val="7CCC43C3"/>
    <w:rsid w:val="7CD66810"/>
    <w:rsid w:val="7CDB280D"/>
    <w:rsid w:val="7CDB38D7"/>
    <w:rsid w:val="7CF26D61"/>
    <w:rsid w:val="7CF451AF"/>
    <w:rsid w:val="7D153065"/>
    <w:rsid w:val="7D2252EC"/>
    <w:rsid w:val="7D501083"/>
    <w:rsid w:val="7D5F62B6"/>
    <w:rsid w:val="7D6A79F6"/>
    <w:rsid w:val="7DA43CC8"/>
    <w:rsid w:val="7DBB731B"/>
    <w:rsid w:val="7E1468C5"/>
    <w:rsid w:val="7E340D3B"/>
    <w:rsid w:val="7E4B7C06"/>
    <w:rsid w:val="7E4F46C1"/>
    <w:rsid w:val="7E5854CD"/>
    <w:rsid w:val="7E7B2D9B"/>
    <w:rsid w:val="7EB02B41"/>
    <w:rsid w:val="7ED700CE"/>
    <w:rsid w:val="7EE925AF"/>
    <w:rsid w:val="7EF636A8"/>
    <w:rsid w:val="7EF75F08"/>
    <w:rsid w:val="7F4C5FDB"/>
    <w:rsid w:val="7F4D0EB9"/>
    <w:rsid w:val="7F99624F"/>
    <w:rsid w:val="7FBD3767"/>
    <w:rsid w:val="7FC56178"/>
    <w:rsid w:val="7FC94644"/>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5"/>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4">
    <w:name w:val="heading 3"/>
    <w:basedOn w:val="1"/>
    <w:next w:val="1"/>
    <w:link w:val="66"/>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5">
    <w:name w:val="heading 4"/>
    <w:basedOn w:val="1"/>
    <w:next w:val="1"/>
    <w:link w:val="67"/>
    <w:qFormat/>
    <w:uiPriority w:val="0"/>
    <w:pPr>
      <w:spacing w:before="280" w:after="290" w:line="377" w:lineRule="auto"/>
      <w:outlineLvl w:val="3"/>
    </w:pPr>
    <w:rPr>
      <w:rFonts w:ascii="Arial" w:hAnsi="Arial" w:eastAsia="黑体"/>
      <w:b/>
      <w:bCs/>
      <w:kern w:val="0"/>
      <w:sz w:val="28"/>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kern w:val="0"/>
      <w:sz w:val="28"/>
      <w:szCs w:val="28"/>
    </w:rPr>
  </w:style>
  <w:style w:type="paragraph" w:styleId="7">
    <w:name w:val="heading 6"/>
    <w:basedOn w:val="1"/>
    <w:next w:val="1"/>
    <w:link w:val="70"/>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8">
    <w:name w:val="heading 7"/>
    <w:basedOn w:val="1"/>
    <w:next w:val="1"/>
    <w:link w:val="71"/>
    <w:qFormat/>
    <w:uiPriority w:val="0"/>
    <w:pPr>
      <w:keepNext/>
      <w:keepLines/>
      <w:spacing w:before="240" w:after="64" w:line="320" w:lineRule="auto"/>
      <w:ind w:left="1296" w:hanging="1296"/>
      <w:outlineLvl w:val="6"/>
    </w:pPr>
    <w:rPr>
      <w:b/>
      <w:bCs/>
      <w:kern w:val="0"/>
      <w:sz w:val="24"/>
      <w:szCs w:val="24"/>
    </w:rPr>
  </w:style>
  <w:style w:type="paragraph" w:styleId="9">
    <w:name w:val="heading 8"/>
    <w:basedOn w:val="1"/>
    <w:next w:val="1"/>
    <w:link w:val="72"/>
    <w:qFormat/>
    <w:uiPriority w:val="0"/>
    <w:pPr>
      <w:keepNext/>
      <w:keepLines/>
      <w:spacing w:before="240" w:after="64" w:line="320" w:lineRule="auto"/>
      <w:ind w:left="1440" w:hanging="1440"/>
      <w:outlineLvl w:val="7"/>
    </w:pPr>
    <w:rPr>
      <w:rFonts w:ascii="Cambria" w:hAnsi="Cambria"/>
      <w:kern w:val="0"/>
      <w:sz w:val="24"/>
      <w:szCs w:val="24"/>
    </w:rPr>
  </w:style>
  <w:style w:type="paragraph" w:styleId="10">
    <w:name w:val="heading 9"/>
    <w:basedOn w:val="1"/>
    <w:next w:val="1"/>
    <w:link w:val="73"/>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8"/>
    <w:unhideWhenUsed/>
    <w:qFormat/>
    <w:uiPriority w:val="0"/>
    <w:pPr>
      <w:ind w:firstLine="420" w:firstLineChars="200"/>
    </w:pPr>
  </w:style>
  <w:style w:type="paragraph" w:styleId="12">
    <w:name w:val="Document Map"/>
    <w:basedOn w:val="1"/>
    <w:link w:val="74"/>
    <w:qFormat/>
    <w:uiPriority w:val="0"/>
    <w:rPr>
      <w:rFonts w:ascii="宋体"/>
      <w:sz w:val="18"/>
      <w:szCs w:val="18"/>
    </w:rPr>
  </w:style>
  <w:style w:type="paragraph" w:styleId="13">
    <w:name w:val="annotation text"/>
    <w:basedOn w:val="1"/>
    <w:link w:val="75"/>
    <w:unhideWhenUsed/>
    <w:qFormat/>
    <w:uiPriority w:val="99"/>
    <w:pPr>
      <w:jc w:val="left"/>
    </w:pPr>
    <w:rPr>
      <w:kern w:val="0"/>
      <w:sz w:val="20"/>
      <w:szCs w:val="24"/>
    </w:rPr>
  </w:style>
  <w:style w:type="paragraph" w:styleId="14">
    <w:name w:val="Body Text 3"/>
    <w:basedOn w:val="1"/>
    <w:link w:val="76"/>
    <w:qFormat/>
    <w:uiPriority w:val="0"/>
    <w:rPr>
      <w:rFonts w:ascii="宋体"/>
      <w:sz w:val="24"/>
      <w:szCs w:val="20"/>
    </w:rPr>
  </w:style>
  <w:style w:type="paragraph" w:styleId="15">
    <w:name w:val="Body Text"/>
    <w:basedOn w:val="1"/>
    <w:link w:val="77"/>
    <w:qFormat/>
    <w:uiPriority w:val="0"/>
    <w:rPr>
      <w:rFonts w:ascii="楷体_GB2312" w:hAnsi="Arial" w:eastAsia="楷体_GB2312"/>
      <w:kern w:val="0"/>
      <w:sz w:val="28"/>
      <w:szCs w:val="28"/>
    </w:rPr>
  </w:style>
  <w:style w:type="paragraph" w:styleId="16">
    <w:name w:val="Body Text Indent"/>
    <w:basedOn w:val="1"/>
    <w:next w:val="1"/>
    <w:link w:val="78"/>
    <w:qFormat/>
    <w:uiPriority w:val="99"/>
    <w:pPr>
      <w:spacing w:after="120"/>
      <w:ind w:left="420" w:leftChars="200"/>
    </w:pPr>
    <w:rPr>
      <w:kern w:val="0"/>
      <w:sz w:val="20"/>
      <w:szCs w:val="24"/>
    </w:rPr>
  </w:style>
  <w:style w:type="paragraph" w:styleId="17">
    <w:name w:val="List Bullet 2"/>
    <w:basedOn w:val="1"/>
    <w:unhideWhenUsed/>
    <w:qFormat/>
    <w:uiPriority w:val="99"/>
    <w:pPr>
      <w:numPr>
        <w:ilvl w:val="0"/>
        <w:numId w:val="2"/>
      </w:numPr>
    </w:pPr>
  </w:style>
  <w:style w:type="paragraph" w:styleId="18">
    <w:name w:val="index 4"/>
    <w:basedOn w:val="1"/>
    <w:next w:val="1"/>
    <w:unhideWhenUsed/>
    <w:qFormat/>
    <w:uiPriority w:val="99"/>
    <w:pPr>
      <w:ind w:left="600" w:leftChars="600"/>
    </w:pPr>
    <w:rPr>
      <w:szCs w:val="20"/>
    </w:rPr>
  </w:style>
  <w:style w:type="paragraph" w:styleId="19">
    <w:name w:val="toc 3"/>
    <w:basedOn w:val="1"/>
    <w:next w:val="1"/>
    <w:unhideWhenUsed/>
    <w:qFormat/>
    <w:uiPriority w:val="39"/>
    <w:pPr>
      <w:ind w:left="840" w:leftChars="400"/>
    </w:pPr>
    <w:rPr>
      <w:rFonts w:ascii="Calibri" w:hAnsi="Calibri"/>
    </w:rPr>
  </w:style>
  <w:style w:type="paragraph" w:styleId="20">
    <w:name w:val="Plain Text"/>
    <w:basedOn w:val="1"/>
    <w:link w:val="79"/>
    <w:qFormat/>
    <w:uiPriority w:val="0"/>
    <w:rPr>
      <w:rFonts w:ascii="宋体" w:hAnsi="Courier New"/>
      <w:kern w:val="0"/>
      <w:sz w:val="20"/>
      <w:szCs w:val="21"/>
    </w:rPr>
  </w:style>
  <w:style w:type="paragraph" w:styleId="21">
    <w:name w:val="Body Text Indent 2"/>
    <w:basedOn w:val="1"/>
    <w:link w:val="80"/>
    <w:qFormat/>
    <w:uiPriority w:val="0"/>
    <w:pPr>
      <w:snapToGrid w:val="0"/>
      <w:spacing w:line="480" w:lineRule="exact"/>
      <w:ind w:firstLine="562" w:firstLineChars="200"/>
    </w:pPr>
    <w:rPr>
      <w:rFonts w:ascii="楷体_GB2312" w:eastAsia="楷体_GB2312"/>
      <w:b/>
      <w:bCs/>
      <w:kern w:val="0"/>
      <w:sz w:val="28"/>
      <w:szCs w:val="24"/>
    </w:rPr>
  </w:style>
  <w:style w:type="paragraph" w:styleId="22">
    <w:name w:val="Balloon Text"/>
    <w:basedOn w:val="1"/>
    <w:link w:val="81"/>
    <w:unhideWhenUsed/>
    <w:qFormat/>
    <w:uiPriority w:val="99"/>
    <w:rPr>
      <w:kern w:val="0"/>
      <w:sz w:val="18"/>
      <w:szCs w:val="18"/>
    </w:rPr>
  </w:style>
  <w:style w:type="paragraph" w:styleId="23">
    <w:name w:val="footer"/>
    <w:basedOn w:val="1"/>
    <w:link w:val="82"/>
    <w:unhideWhenUsed/>
    <w:qFormat/>
    <w:uiPriority w:val="99"/>
    <w:pPr>
      <w:tabs>
        <w:tab w:val="center" w:pos="4153"/>
        <w:tab w:val="right" w:pos="8306"/>
      </w:tabs>
      <w:snapToGrid w:val="0"/>
      <w:jc w:val="left"/>
    </w:pPr>
    <w:rPr>
      <w:kern w:val="0"/>
      <w:sz w:val="18"/>
      <w:szCs w:val="18"/>
    </w:rPr>
  </w:style>
  <w:style w:type="paragraph" w:styleId="24">
    <w:name w:val="envelope return"/>
    <w:basedOn w:val="1"/>
    <w:qFormat/>
    <w:uiPriority w:val="99"/>
    <w:pPr>
      <w:widowControl/>
      <w:snapToGrid w:val="0"/>
      <w:jc w:val="left"/>
    </w:pPr>
    <w:rPr>
      <w:rFonts w:ascii="Arial" w:hAnsi="Arial"/>
      <w:kern w:val="0"/>
      <w:sz w:val="20"/>
      <w:szCs w:val="20"/>
    </w:rPr>
  </w:style>
  <w:style w:type="paragraph" w:styleId="25">
    <w:name w:val="header"/>
    <w:basedOn w:val="1"/>
    <w:link w:val="8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rPr>
      <w:rFonts w:ascii="Calibri" w:hAnsi="Calibri"/>
    </w:rPr>
  </w:style>
  <w:style w:type="paragraph" w:styleId="27">
    <w:name w:val="table of figures"/>
    <w:basedOn w:val="1"/>
    <w:next w:val="1"/>
    <w:semiHidden/>
    <w:qFormat/>
    <w:uiPriority w:val="0"/>
    <w:pPr>
      <w:spacing w:beforeLines="50" w:afterLines="50"/>
      <w:ind w:left="840" w:leftChars="200" w:hanging="420" w:hangingChars="200"/>
    </w:pPr>
    <w:rPr>
      <w:sz w:val="24"/>
      <w:szCs w:val="24"/>
    </w:rPr>
  </w:style>
  <w:style w:type="paragraph" w:styleId="28">
    <w:name w:val="toc 2"/>
    <w:basedOn w:val="1"/>
    <w:next w:val="1"/>
    <w:unhideWhenUsed/>
    <w:qFormat/>
    <w:uiPriority w:val="39"/>
    <w:pPr>
      <w:ind w:left="420" w:leftChars="200"/>
    </w:pPr>
    <w:rPr>
      <w:rFonts w:ascii="Calibri" w:hAnsi="Calibri"/>
    </w:rPr>
  </w:style>
  <w:style w:type="paragraph" w:styleId="29">
    <w:name w:val="toc 9"/>
    <w:basedOn w:val="1"/>
    <w:next w:val="1"/>
    <w:semiHidden/>
    <w:qFormat/>
    <w:uiPriority w:val="0"/>
    <w:pPr>
      <w:ind w:left="3360" w:leftChars="1600"/>
    </w:pPr>
  </w:style>
  <w:style w:type="paragraph" w:styleId="30">
    <w:name w:val="Normal (Web)"/>
    <w:basedOn w:val="1"/>
    <w:unhideWhenUsed/>
    <w:qFormat/>
    <w:uiPriority w:val="99"/>
    <w:pPr>
      <w:spacing w:beforeAutospacing="1" w:afterAutospacing="1"/>
      <w:jc w:val="left"/>
    </w:pPr>
    <w:rPr>
      <w:kern w:val="0"/>
      <w:sz w:val="24"/>
    </w:rPr>
  </w:style>
  <w:style w:type="paragraph" w:styleId="31">
    <w:name w:val="annotation subject"/>
    <w:basedOn w:val="13"/>
    <w:next w:val="13"/>
    <w:link w:val="84"/>
    <w:unhideWhenUsed/>
    <w:qFormat/>
    <w:uiPriority w:val="99"/>
    <w:rPr>
      <w:b/>
      <w:bCs/>
      <w:szCs w:val="20"/>
    </w:rPr>
  </w:style>
  <w:style w:type="paragraph" w:styleId="32">
    <w:name w:val="Body Text First Indent"/>
    <w:basedOn w:val="15"/>
    <w:qFormat/>
    <w:uiPriority w:val="0"/>
    <w:pPr>
      <w:spacing w:after="120"/>
      <w:ind w:left="300" w:firstLine="420"/>
    </w:pPr>
    <w:rPr>
      <w:rFonts w:ascii="宋体" w:hAnsi="Verdana"/>
      <w:lang w:val="en-GB"/>
    </w:rPr>
  </w:style>
  <w:style w:type="paragraph" w:styleId="33">
    <w:name w:val="Body Text First Indent 2"/>
    <w:basedOn w:val="16"/>
    <w:next w:val="1"/>
    <w:qFormat/>
    <w:uiPriority w:val="0"/>
    <w:pPr>
      <w:ind w:firstLine="420"/>
    </w:pPr>
  </w:style>
  <w:style w:type="table" w:styleId="35">
    <w:name w:val="Table Grid"/>
    <w:basedOn w:val="34"/>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22"/>
    <w:rPr>
      <w:rFonts w:ascii="Tahoma" w:hAnsi="Tahoma" w:eastAsia="宋体"/>
      <w:b/>
      <w:bCs/>
      <w:spacing w:val="10"/>
      <w:sz w:val="24"/>
      <w:lang w:val="en-US" w:eastAsia="zh-CN" w:bidi="ar-SA"/>
    </w:rPr>
  </w:style>
  <w:style w:type="character" w:styleId="38">
    <w:name w:val="page number"/>
    <w:qFormat/>
    <w:uiPriority w:val="0"/>
  </w:style>
  <w:style w:type="character" w:styleId="39">
    <w:name w:val="FollowedHyperlink"/>
    <w:unhideWhenUsed/>
    <w:qFormat/>
    <w:uiPriority w:val="99"/>
    <w:rPr>
      <w:color w:val="333333"/>
      <w:u w:val="none"/>
    </w:rPr>
  </w:style>
  <w:style w:type="character" w:styleId="40">
    <w:name w:val="Emphasis"/>
    <w:qFormat/>
    <w:uiPriority w:val="0"/>
    <w:rPr>
      <w:rFonts w:ascii="Times New Roman" w:hAnsi="Times New Roman"/>
      <w:i/>
      <w:iCs/>
      <w:sz w:val="21"/>
      <w:szCs w:val="20"/>
    </w:rPr>
  </w:style>
  <w:style w:type="character" w:styleId="41">
    <w:name w:val="HTML Definition"/>
    <w:unhideWhenUsed/>
    <w:qFormat/>
    <w:uiPriority w:val="99"/>
    <w:rPr>
      <w:i/>
    </w:rPr>
  </w:style>
  <w:style w:type="character" w:styleId="42">
    <w:name w:val="Hyperlink"/>
    <w:unhideWhenUsed/>
    <w:qFormat/>
    <w:uiPriority w:val="0"/>
    <w:rPr>
      <w:color w:val="333333"/>
      <w:u w:val="none"/>
    </w:rPr>
  </w:style>
  <w:style w:type="character" w:styleId="43">
    <w:name w:val="HTML Code"/>
    <w:unhideWhenUsed/>
    <w:qFormat/>
    <w:uiPriority w:val="99"/>
    <w:rPr>
      <w:rFonts w:ascii="Consolas" w:hAnsi="Consolas" w:eastAsia="Consolas" w:cs="Consolas"/>
      <w:color w:val="C7254E"/>
      <w:sz w:val="21"/>
      <w:szCs w:val="21"/>
      <w:shd w:val="clear" w:color="auto" w:fill="F9F2F4"/>
    </w:rPr>
  </w:style>
  <w:style w:type="character" w:styleId="44">
    <w:name w:val="annotation reference"/>
    <w:unhideWhenUsed/>
    <w:qFormat/>
    <w:uiPriority w:val="0"/>
    <w:rPr>
      <w:sz w:val="21"/>
      <w:szCs w:val="21"/>
    </w:rPr>
  </w:style>
  <w:style w:type="character" w:styleId="45">
    <w:name w:val="HTML Keyboard"/>
    <w:unhideWhenUsed/>
    <w:qFormat/>
    <w:uiPriority w:val="99"/>
    <w:rPr>
      <w:rFonts w:hint="default" w:ascii="Consolas" w:hAnsi="Consolas" w:eastAsia="Consolas" w:cs="Consolas"/>
      <w:color w:val="FFFFFF"/>
      <w:sz w:val="21"/>
      <w:szCs w:val="21"/>
      <w:shd w:val="clear" w:color="auto" w:fill="333333"/>
    </w:rPr>
  </w:style>
  <w:style w:type="character" w:styleId="46">
    <w:name w:val="HTML Sample"/>
    <w:unhideWhenUsed/>
    <w:qFormat/>
    <w:uiPriority w:val="99"/>
    <w:rPr>
      <w:rFonts w:hint="default" w:ascii="Consolas" w:hAnsi="Consolas" w:eastAsia="Consolas" w:cs="Consolas"/>
      <w:sz w:val="21"/>
      <w:szCs w:val="21"/>
    </w:rPr>
  </w:style>
  <w:style w:type="paragraph" w:customStyle="1" w:styleId="47">
    <w:name w:val="正文（缩进）"/>
    <w:basedOn w:val="48"/>
    <w:next w:val="49"/>
    <w:qFormat/>
    <w:uiPriority w:val="0"/>
    <w:pPr>
      <w:spacing w:before="156" w:after="156"/>
      <w:ind w:firstLine="480" w:firstLineChars="200"/>
    </w:pPr>
  </w:style>
  <w:style w:type="paragraph" w:customStyle="1" w:styleId="48">
    <w:name w:val="正文_2_0"/>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Char Char Char Char Char Char Char Char Char"/>
    <w:basedOn w:val="1"/>
    <w:next w:val="50"/>
    <w:qFormat/>
    <w:uiPriority w:val="99"/>
    <w:pPr>
      <w:ind w:left="360" w:firstLine="5784"/>
    </w:pPr>
  </w:style>
  <w:style w:type="paragraph" w:customStyle="1" w:styleId="50">
    <w:name w:val="正文文本 21"/>
    <w:basedOn w:val="1"/>
    <w:next w:val="51"/>
    <w:qFormat/>
    <w:uiPriority w:val="99"/>
    <w:pPr>
      <w:widowControl/>
      <w:autoSpaceDE w:val="0"/>
      <w:autoSpaceDN w:val="0"/>
      <w:ind w:left="720" w:firstLine="5680"/>
    </w:pPr>
  </w:style>
  <w:style w:type="paragraph" w:customStyle="1" w:styleId="51">
    <w:name w:val="默认段落字体 Para Char Char Char Char Char Char Char"/>
    <w:basedOn w:val="1"/>
    <w:next w:val="52"/>
    <w:qFormat/>
    <w:uiPriority w:val="99"/>
    <w:pPr>
      <w:ind w:firstLine="200" w:firstLineChars="200"/>
    </w:pPr>
    <w:rPr>
      <w:rFonts w:cs="Arial"/>
    </w:rPr>
  </w:style>
  <w:style w:type="paragraph" w:customStyle="1" w:styleId="52">
    <w:name w:val="样式 首行缩进:  2 字符"/>
    <w:basedOn w:val="1"/>
    <w:next w:val="53"/>
    <w:qFormat/>
    <w:uiPriority w:val="99"/>
    <w:pPr>
      <w:spacing w:line="360" w:lineRule="auto"/>
      <w:ind w:left="480" w:firstLine="5856"/>
    </w:pPr>
  </w:style>
  <w:style w:type="paragraph" w:customStyle="1" w:styleId="53">
    <w:name w:val="样式 段后: 0.25 行"/>
    <w:basedOn w:val="1"/>
    <w:next w:val="54"/>
    <w:qFormat/>
    <w:uiPriority w:val="99"/>
    <w:pPr>
      <w:widowControl/>
      <w:spacing w:line="300" w:lineRule="auto"/>
      <w:ind w:left="420" w:firstLine="5796"/>
    </w:pPr>
  </w:style>
  <w:style w:type="paragraph" w:customStyle="1" w:styleId="54">
    <w:name w:val="正文 New New New New New New New New New New New New New New"/>
    <w:next w:val="29"/>
    <w:qFormat/>
    <w:uiPriority w:val="99"/>
    <w:pPr>
      <w:widowControl w:val="0"/>
      <w:ind w:firstLine="2048"/>
      <w:jc w:val="both"/>
    </w:pPr>
    <w:rPr>
      <w:rFonts w:ascii="Calibri" w:hAnsi="Calibri" w:eastAsia="宋体" w:cs="Times New Roman"/>
      <w:lang w:val="en-US" w:eastAsia="zh-CN" w:bidi="ar-SA"/>
    </w:rPr>
  </w:style>
  <w:style w:type="paragraph" w:customStyle="1" w:styleId="55">
    <w:name w:val="正文1"/>
    <w:basedOn w:val="1"/>
    <w:next w:val="56"/>
    <w:link w:val="121"/>
    <w:qFormat/>
    <w:uiPriority w:val="99"/>
    <w:pPr>
      <w:snapToGrid w:val="0"/>
      <w:spacing w:line="440" w:lineRule="exact"/>
      <w:ind w:firstLine="480" w:firstLineChars="200"/>
    </w:pPr>
    <w:rPr>
      <w:rFonts w:ascii="微软雅黑" w:hAnsi="微软雅黑" w:eastAsia="微软雅黑"/>
      <w:sz w:val="24"/>
      <w:szCs w:val="20"/>
    </w:rPr>
  </w:style>
  <w:style w:type="paragraph" w:customStyle="1" w:styleId="56">
    <w:name w:val="正文文本1"/>
    <w:basedOn w:val="55"/>
    <w:next w:val="57"/>
    <w:qFormat/>
    <w:uiPriority w:val="0"/>
    <w:pPr>
      <w:spacing w:after="120"/>
    </w:pPr>
    <w:rPr>
      <w:lang w:eastAsia="en-US"/>
    </w:rPr>
  </w:style>
  <w:style w:type="paragraph" w:customStyle="1" w:styleId="57">
    <w:name w:val="一级条标题"/>
    <w:basedOn w:val="58"/>
    <w:next w:val="5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59">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60">
    <w:name w:val="vsbcontent_start"/>
    <w:basedOn w:val="1"/>
    <w:next w:val="61"/>
    <w:qFormat/>
    <w:uiPriority w:val="0"/>
    <w:pPr>
      <w:widowControl/>
      <w:jc w:val="left"/>
    </w:pPr>
    <w:rPr>
      <w:rFonts w:ascii="宋体" w:hAnsi="宋体" w:cs="宋体"/>
      <w:sz w:val="24"/>
    </w:rPr>
  </w:style>
  <w:style w:type="paragraph" w:customStyle="1" w:styleId="61">
    <w:name w:val="Char Char Char1 Char8"/>
    <w:basedOn w:val="1"/>
    <w:next w:val="62"/>
    <w:unhideWhenUsed/>
    <w:qFormat/>
    <w:uiPriority w:val="99"/>
    <w:pPr>
      <w:spacing w:line="360" w:lineRule="auto"/>
    </w:pPr>
    <w:rPr>
      <w:rFonts w:hint="eastAsia" w:ascii="宋体" w:hAnsi="宋体"/>
      <w:sz w:val="24"/>
    </w:rPr>
  </w:style>
  <w:style w:type="paragraph" w:customStyle="1" w:styleId="62">
    <w:name w:val="Char Char Char1 Char1"/>
    <w:basedOn w:val="1"/>
    <w:unhideWhenUsed/>
    <w:qFormat/>
    <w:uiPriority w:val="99"/>
    <w:pPr>
      <w:spacing w:line="360" w:lineRule="auto"/>
      <w:ind w:firstLine="200"/>
    </w:pPr>
    <w:rPr>
      <w:rFonts w:hint="eastAsia" w:ascii="宋体" w:hAnsi="宋体"/>
      <w:sz w:val="24"/>
    </w:rPr>
  </w:style>
  <w:style w:type="paragraph" w:customStyle="1" w:styleId="6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4">
    <w:name w:val="标题 1 Char"/>
    <w:link w:val="2"/>
    <w:qFormat/>
    <w:uiPriority w:val="9"/>
    <w:rPr>
      <w:b/>
      <w:bCs/>
      <w:kern w:val="44"/>
      <w:sz w:val="44"/>
      <w:szCs w:val="44"/>
    </w:rPr>
  </w:style>
  <w:style w:type="character" w:customStyle="1" w:styleId="65">
    <w:name w:val="标题 2 Char"/>
    <w:link w:val="3"/>
    <w:qFormat/>
    <w:uiPriority w:val="0"/>
    <w:rPr>
      <w:rFonts w:ascii="Arial" w:hAnsi="Arial" w:eastAsia="宋体" w:cs="Times New Roman"/>
      <w:b/>
      <w:bCs/>
      <w:kern w:val="0"/>
      <w:sz w:val="28"/>
      <w:szCs w:val="36"/>
    </w:rPr>
  </w:style>
  <w:style w:type="character" w:customStyle="1" w:styleId="66">
    <w:name w:val="标题 3 Char"/>
    <w:link w:val="4"/>
    <w:qFormat/>
    <w:uiPriority w:val="0"/>
    <w:rPr>
      <w:rFonts w:ascii="Arial" w:hAnsi="Arial" w:eastAsia="黑体" w:cs="Times New Roman"/>
      <w:b/>
      <w:bCs/>
      <w:kern w:val="0"/>
      <w:sz w:val="30"/>
      <w:szCs w:val="32"/>
    </w:rPr>
  </w:style>
  <w:style w:type="character" w:customStyle="1" w:styleId="67">
    <w:name w:val="标题 4 Char"/>
    <w:link w:val="5"/>
    <w:qFormat/>
    <w:uiPriority w:val="0"/>
    <w:rPr>
      <w:rFonts w:ascii="Arial" w:hAnsi="Arial" w:eastAsia="黑体" w:cs="Arial"/>
      <w:b/>
      <w:bCs/>
      <w:sz w:val="28"/>
      <w:szCs w:val="28"/>
    </w:rPr>
  </w:style>
  <w:style w:type="character" w:customStyle="1" w:styleId="68">
    <w:name w:val="正文缩进 Char"/>
    <w:link w:val="11"/>
    <w:qFormat/>
    <w:uiPriority w:val="0"/>
  </w:style>
  <w:style w:type="character" w:customStyle="1" w:styleId="69">
    <w:name w:val="标题 5 Char"/>
    <w:link w:val="6"/>
    <w:qFormat/>
    <w:uiPriority w:val="0"/>
    <w:rPr>
      <w:rFonts w:ascii="Calibri" w:hAnsi="Calibri" w:eastAsia="宋体" w:cs="Times New Roman"/>
      <w:b/>
      <w:bCs/>
      <w:kern w:val="0"/>
      <w:sz w:val="28"/>
      <w:szCs w:val="28"/>
    </w:rPr>
  </w:style>
  <w:style w:type="character" w:customStyle="1" w:styleId="70">
    <w:name w:val="标题 6 Char"/>
    <w:link w:val="7"/>
    <w:qFormat/>
    <w:uiPriority w:val="0"/>
    <w:rPr>
      <w:rFonts w:ascii="Cambria" w:hAnsi="Cambria" w:eastAsia="宋体" w:cs="Times New Roman"/>
      <w:b/>
      <w:bCs/>
      <w:kern w:val="0"/>
      <w:sz w:val="24"/>
      <w:szCs w:val="24"/>
    </w:rPr>
  </w:style>
  <w:style w:type="character" w:customStyle="1" w:styleId="71">
    <w:name w:val="标题 7 Char"/>
    <w:link w:val="8"/>
    <w:qFormat/>
    <w:uiPriority w:val="0"/>
    <w:rPr>
      <w:rFonts w:ascii="Times New Roman" w:hAnsi="Times New Roman" w:eastAsia="宋体" w:cs="Times New Roman"/>
      <w:b/>
      <w:bCs/>
      <w:kern w:val="0"/>
      <w:sz w:val="24"/>
      <w:szCs w:val="24"/>
    </w:rPr>
  </w:style>
  <w:style w:type="character" w:customStyle="1" w:styleId="72">
    <w:name w:val="标题 8 Char"/>
    <w:link w:val="9"/>
    <w:qFormat/>
    <w:uiPriority w:val="0"/>
    <w:rPr>
      <w:rFonts w:ascii="Cambria" w:hAnsi="Cambria" w:eastAsia="宋体" w:cs="Times New Roman"/>
      <w:kern w:val="0"/>
      <w:sz w:val="24"/>
      <w:szCs w:val="24"/>
    </w:rPr>
  </w:style>
  <w:style w:type="character" w:customStyle="1" w:styleId="73">
    <w:name w:val="标题 9 Char"/>
    <w:link w:val="10"/>
    <w:qFormat/>
    <w:uiPriority w:val="0"/>
    <w:rPr>
      <w:rFonts w:ascii="Cambria" w:hAnsi="Cambria" w:eastAsia="宋体" w:cs="Times New Roman"/>
      <w:kern w:val="0"/>
      <w:sz w:val="20"/>
      <w:szCs w:val="21"/>
    </w:rPr>
  </w:style>
  <w:style w:type="character" w:customStyle="1" w:styleId="74">
    <w:name w:val="文档结构图 Char"/>
    <w:link w:val="12"/>
    <w:qFormat/>
    <w:uiPriority w:val="0"/>
    <w:rPr>
      <w:rFonts w:ascii="宋体" w:hAnsi="Times New Roman"/>
      <w:kern w:val="2"/>
      <w:sz w:val="18"/>
      <w:szCs w:val="18"/>
    </w:rPr>
  </w:style>
  <w:style w:type="character" w:customStyle="1" w:styleId="75">
    <w:name w:val="批注文字 Char1"/>
    <w:link w:val="13"/>
    <w:qFormat/>
    <w:uiPriority w:val="99"/>
    <w:rPr>
      <w:rFonts w:ascii="Times New Roman" w:hAnsi="Times New Roman" w:eastAsia="宋体" w:cs="Times New Roman"/>
      <w:szCs w:val="24"/>
    </w:rPr>
  </w:style>
  <w:style w:type="character" w:customStyle="1" w:styleId="76">
    <w:name w:val="正文文本 3 Char"/>
    <w:link w:val="14"/>
    <w:qFormat/>
    <w:uiPriority w:val="0"/>
    <w:rPr>
      <w:rFonts w:ascii="宋体" w:hAnsi="Times New Roman"/>
      <w:kern w:val="2"/>
      <w:sz w:val="24"/>
    </w:rPr>
  </w:style>
  <w:style w:type="character" w:customStyle="1" w:styleId="77">
    <w:name w:val="正文文本 Char"/>
    <w:link w:val="15"/>
    <w:qFormat/>
    <w:uiPriority w:val="0"/>
    <w:rPr>
      <w:rFonts w:ascii="楷体_GB2312" w:hAnsi="Arial" w:eastAsia="楷体_GB2312" w:cs="Times New Roman"/>
      <w:sz w:val="28"/>
      <w:szCs w:val="28"/>
    </w:rPr>
  </w:style>
  <w:style w:type="character" w:customStyle="1" w:styleId="78">
    <w:name w:val="正文文本缩进 Char"/>
    <w:link w:val="16"/>
    <w:qFormat/>
    <w:uiPriority w:val="99"/>
    <w:rPr>
      <w:rFonts w:ascii="Times New Roman" w:hAnsi="Times New Roman"/>
      <w:szCs w:val="24"/>
    </w:rPr>
  </w:style>
  <w:style w:type="character" w:customStyle="1" w:styleId="79">
    <w:name w:val="纯文本 Char"/>
    <w:link w:val="20"/>
    <w:qFormat/>
    <w:uiPriority w:val="0"/>
    <w:rPr>
      <w:rFonts w:ascii="宋体" w:hAnsi="Courier New" w:eastAsia="宋体" w:cs="Times New Roman"/>
      <w:szCs w:val="21"/>
    </w:rPr>
  </w:style>
  <w:style w:type="character" w:customStyle="1" w:styleId="80">
    <w:name w:val="正文文本缩进 2 Char"/>
    <w:link w:val="21"/>
    <w:qFormat/>
    <w:uiPriority w:val="0"/>
    <w:rPr>
      <w:rFonts w:ascii="楷体_GB2312" w:hAnsi="Times New Roman" w:eastAsia="楷体_GB2312"/>
      <w:b/>
      <w:bCs/>
      <w:sz w:val="28"/>
      <w:szCs w:val="24"/>
    </w:rPr>
  </w:style>
  <w:style w:type="character" w:customStyle="1" w:styleId="81">
    <w:name w:val="批注框文本 Char"/>
    <w:link w:val="22"/>
    <w:qFormat/>
    <w:uiPriority w:val="99"/>
    <w:rPr>
      <w:sz w:val="18"/>
      <w:szCs w:val="18"/>
    </w:rPr>
  </w:style>
  <w:style w:type="character" w:customStyle="1" w:styleId="82">
    <w:name w:val="页脚 Char"/>
    <w:link w:val="23"/>
    <w:qFormat/>
    <w:uiPriority w:val="99"/>
    <w:rPr>
      <w:rFonts w:ascii="Times New Roman" w:hAnsi="Times New Roman" w:eastAsia="宋体" w:cs="Times New Roman"/>
      <w:sz w:val="18"/>
      <w:szCs w:val="18"/>
    </w:rPr>
  </w:style>
  <w:style w:type="character" w:customStyle="1" w:styleId="83">
    <w:name w:val="页眉 Char"/>
    <w:link w:val="25"/>
    <w:qFormat/>
    <w:uiPriority w:val="99"/>
    <w:rPr>
      <w:rFonts w:ascii="Times New Roman" w:hAnsi="Times New Roman" w:eastAsia="宋体" w:cs="Times New Roman"/>
      <w:sz w:val="18"/>
      <w:szCs w:val="18"/>
    </w:rPr>
  </w:style>
  <w:style w:type="character" w:customStyle="1" w:styleId="84">
    <w:name w:val="批注主题 Char"/>
    <w:link w:val="31"/>
    <w:qFormat/>
    <w:uiPriority w:val="99"/>
    <w:rPr>
      <w:b/>
      <w:bCs/>
    </w:rPr>
  </w:style>
  <w:style w:type="character" w:customStyle="1" w:styleId="85">
    <w:name w:val="font231"/>
    <w:qFormat/>
    <w:uiPriority w:val="0"/>
    <w:rPr>
      <w:rFonts w:hint="eastAsia" w:ascii="宋体" w:hAnsi="宋体" w:eastAsia="宋体" w:cs="宋体"/>
      <w:color w:val="000000"/>
      <w:sz w:val="20"/>
      <w:szCs w:val="20"/>
      <w:u w:val="none"/>
    </w:rPr>
  </w:style>
  <w:style w:type="character" w:customStyle="1" w:styleId="86">
    <w:name w:val="font01"/>
    <w:qFormat/>
    <w:uiPriority w:val="0"/>
    <w:rPr>
      <w:rFonts w:hint="eastAsia" w:ascii="宋体" w:hAnsi="宋体" w:eastAsia="宋体"/>
      <w:color w:val="000000"/>
      <w:sz w:val="24"/>
      <w:szCs w:val="24"/>
      <w:u w:val="none"/>
    </w:rPr>
  </w:style>
  <w:style w:type="character" w:customStyle="1" w:styleId="87">
    <w:name w:val="表格样式居左 Char"/>
    <w:link w:val="88"/>
    <w:qFormat/>
    <w:uiPriority w:val="0"/>
    <w:rPr>
      <w:rFonts w:eastAsia="仿宋_GB2312"/>
      <w:bCs/>
      <w:color w:val="000000"/>
      <w:kern w:val="2"/>
      <w:sz w:val="21"/>
      <w:szCs w:val="44"/>
      <w:lang w:val="en-US" w:eastAsia="zh-CN" w:bidi="ar-SA"/>
    </w:rPr>
  </w:style>
  <w:style w:type="paragraph" w:customStyle="1" w:styleId="88">
    <w:name w:val="表格样式居左"/>
    <w:link w:val="87"/>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89">
    <w:name w:val="font211"/>
    <w:qFormat/>
    <w:uiPriority w:val="0"/>
    <w:rPr>
      <w:rFonts w:hint="eastAsia" w:ascii="宋体" w:hAnsi="宋体" w:eastAsia="宋体" w:cs="宋体"/>
      <w:color w:val="FF0000"/>
      <w:sz w:val="20"/>
      <w:szCs w:val="20"/>
      <w:u w:val="none"/>
      <w:vertAlign w:val="superscript"/>
    </w:rPr>
  </w:style>
  <w:style w:type="character" w:customStyle="1" w:styleId="90">
    <w:name w:val="font201"/>
    <w:qFormat/>
    <w:uiPriority w:val="0"/>
    <w:rPr>
      <w:rFonts w:hint="default" w:ascii="Times New Roman" w:hAnsi="Times New Roman" w:cs="Times New Roman"/>
      <w:color w:val="000000"/>
      <w:sz w:val="20"/>
      <w:szCs w:val="20"/>
      <w:u w:val="none"/>
    </w:rPr>
  </w:style>
  <w:style w:type="character" w:customStyle="1" w:styleId="91">
    <w:name w:val="Char Char8"/>
    <w:qFormat/>
    <w:uiPriority w:val="0"/>
    <w:rPr>
      <w:rFonts w:ascii="Calibri" w:hAnsi="Calibri" w:eastAsia="宋体" w:cs="Times New Roman"/>
      <w:b/>
      <w:bCs/>
      <w:sz w:val="28"/>
      <w:szCs w:val="28"/>
    </w:rPr>
  </w:style>
  <w:style w:type="character" w:customStyle="1" w:styleId="92">
    <w:name w:val="批注主题 Char1"/>
    <w:semiHidden/>
    <w:qFormat/>
    <w:uiPriority w:val="99"/>
    <w:rPr>
      <w:rFonts w:ascii="Times New Roman" w:hAnsi="Times New Roman" w:eastAsia="宋体" w:cs="Times New Roman"/>
      <w:b/>
      <w:bCs/>
      <w:szCs w:val="24"/>
    </w:rPr>
  </w:style>
  <w:style w:type="character" w:customStyle="1" w:styleId="93">
    <w:name w:val="font71"/>
    <w:qFormat/>
    <w:uiPriority w:val="0"/>
    <w:rPr>
      <w:rFonts w:hint="eastAsia" w:ascii="宋体" w:hAnsi="宋体" w:eastAsia="宋体" w:cs="宋体"/>
      <w:color w:val="000000"/>
      <w:sz w:val="20"/>
      <w:szCs w:val="20"/>
      <w:u w:val="none"/>
    </w:rPr>
  </w:style>
  <w:style w:type="character" w:customStyle="1" w:styleId="94">
    <w:name w:val="段落 Char1"/>
    <w:link w:val="95"/>
    <w:qFormat/>
    <w:uiPriority w:val="0"/>
    <w:rPr>
      <w:rFonts w:eastAsia="仿宋_GB2312"/>
      <w:kern w:val="2"/>
      <w:sz w:val="32"/>
      <w:szCs w:val="32"/>
      <w:lang w:val="en-US" w:eastAsia="zh-CN" w:bidi="ar-SA"/>
    </w:rPr>
  </w:style>
  <w:style w:type="paragraph" w:customStyle="1" w:styleId="95">
    <w:name w:val="段落"/>
    <w:link w:val="94"/>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96">
    <w:name w:val="font61"/>
    <w:qFormat/>
    <w:uiPriority w:val="0"/>
    <w:rPr>
      <w:rFonts w:hint="eastAsia" w:ascii="宋体" w:hAnsi="宋体" w:eastAsia="宋体" w:cs="宋体"/>
      <w:color w:val="000000"/>
      <w:sz w:val="20"/>
      <w:szCs w:val="20"/>
      <w:u w:val="none"/>
    </w:rPr>
  </w:style>
  <w:style w:type="character" w:customStyle="1" w:styleId="97">
    <w:name w:val="正文文本缩进 2 Char1"/>
    <w:semiHidden/>
    <w:qFormat/>
    <w:uiPriority w:val="99"/>
  </w:style>
  <w:style w:type="character" w:customStyle="1" w:styleId="98">
    <w:name w:val="标题 5 字符"/>
    <w:semiHidden/>
    <w:qFormat/>
    <w:uiPriority w:val="0"/>
    <w:rPr>
      <w:rFonts w:ascii="Calibri" w:hAnsi="Calibri"/>
      <w:b/>
      <w:bCs/>
      <w:kern w:val="2"/>
      <w:sz w:val="28"/>
      <w:szCs w:val="28"/>
    </w:rPr>
  </w:style>
  <w:style w:type="character" w:customStyle="1" w:styleId="99">
    <w:name w:val="font101"/>
    <w:qFormat/>
    <w:uiPriority w:val="0"/>
    <w:rPr>
      <w:rFonts w:hint="eastAsia" w:ascii="宋体" w:hAnsi="宋体" w:eastAsia="宋体" w:cs="宋体"/>
      <w:b/>
      <w:color w:val="000000"/>
      <w:sz w:val="18"/>
      <w:szCs w:val="18"/>
      <w:u w:val="none"/>
    </w:rPr>
  </w:style>
  <w:style w:type="character" w:customStyle="1" w:styleId="100">
    <w:name w:val="font191"/>
    <w:qFormat/>
    <w:uiPriority w:val="0"/>
    <w:rPr>
      <w:rFonts w:ascii="Wingdings 2" w:hAnsi="Wingdings 2" w:eastAsia="Wingdings 2" w:cs="Wingdings 2"/>
      <w:color w:val="000000"/>
      <w:sz w:val="20"/>
      <w:szCs w:val="20"/>
      <w:u w:val="none"/>
    </w:rPr>
  </w:style>
  <w:style w:type="character" w:customStyle="1" w:styleId="101">
    <w:name w:val="项目排列 Char"/>
    <w:link w:val="102"/>
    <w:qFormat/>
    <w:uiPriority w:val="0"/>
    <w:rPr>
      <w:sz w:val="24"/>
      <w:szCs w:val="24"/>
    </w:rPr>
  </w:style>
  <w:style w:type="paragraph" w:customStyle="1" w:styleId="102">
    <w:name w:val="项目排列"/>
    <w:basedOn w:val="1"/>
    <w:link w:val="101"/>
    <w:qFormat/>
    <w:uiPriority w:val="0"/>
    <w:pPr>
      <w:numPr>
        <w:ilvl w:val="0"/>
        <w:numId w:val="3"/>
      </w:numPr>
      <w:tabs>
        <w:tab w:val="left" w:pos="900"/>
      </w:tabs>
      <w:spacing w:beforeLines="50" w:afterLines="50" w:line="300" w:lineRule="auto"/>
    </w:pPr>
    <w:rPr>
      <w:kern w:val="0"/>
      <w:sz w:val="24"/>
      <w:szCs w:val="24"/>
    </w:rPr>
  </w:style>
  <w:style w:type="character" w:customStyle="1" w:styleId="103">
    <w:name w:val="apple-style-span"/>
    <w:qFormat/>
    <w:uiPriority w:val="0"/>
  </w:style>
  <w:style w:type="character" w:customStyle="1" w:styleId="104">
    <w:name w:val="font51"/>
    <w:qFormat/>
    <w:uiPriority w:val="0"/>
    <w:rPr>
      <w:rFonts w:hint="eastAsia" w:ascii="宋体" w:hAnsi="宋体" w:eastAsia="宋体" w:cs="宋体"/>
      <w:b/>
      <w:color w:val="000000"/>
      <w:sz w:val="20"/>
      <w:szCs w:val="20"/>
      <w:u w:val="none"/>
    </w:rPr>
  </w:style>
  <w:style w:type="character" w:customStyle="1" w:styleId="105">
    <w:name w:val="Char Char10"/>
    <w:qFormat/>
    <w:uiPriority w:val="0"/>
    <w:rPr>
      <w:rFonts w:ascii="Arial" w:hAnsi="Arial" w:eastAsia="黑体" w:cs="Times New Roman"/>
      <w:b/>
      <w:bCs/>
      <w:sz w:val="30"/>
      <w:szCs w:val="32"/>
    </w:rPr>
  </w:style>
  <w:style w:type="character" w:customStyle="1" w:styleId="106">
    <w:name w:val="_Style 93"/>
    <w:qFormat/>
    <w:uiPriority w:val="19"/>
    <w:rPr>
      <w:rFonts w:ascii="Times New Roman" w:hAnsi="Times New Roman"/>
      <w:i/>
      <w:iCs/>
      <w:color w:val="808080"/>
      <w:sz w:val="21"/>
      <w:szCs w:val="20"/>
    </w:rPr>
  </w:style>
  <w:style w:type="character" w:customStyle="1" w:styleId="107">
    <w:name w:val="表格样式居中 Char"/>
    <w:link w:val="108"/>
    <w:qFormat/>
    <w:uiPriority w:val="0"/>
    <w:rPr>
      <w:rFonts w:ascii="宋体" w:hAnsi="宋体"/>
      <w:bCs/>
      <w:kern w:val="44"/>
      <w:sz w:val="21"/>
      <w:szCs w:val="21"/>
      <w:lang w:val="zh-CN" w:eastAsia="zh-CN" w:bidi="ar-SA"/>
    </w:rPr>
  </w:style>
  <w:style w:type="paragraph" w:customStyle="1" w:styleId="108">
    <w:name w:val="表格样式居中"/>
    <w:link w:val="107"/>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09">
    <w:name w:val="font241"/>
    <w:qFormat/>
    <w:uiPriority w:val="0"/>
    <w:rPr>
      <w:rFonts w:hint="eastAsia" w:ascii="宋体" w:hAnsi="宋体" w:eastAsia="宋体" w:cs="宋体"/>
      <w:color w:val="000000"/>
      <w:sz w:val="20"/>
      <w:szCs w:val="20"/>
      <w:u w:val="none"/>
    </w:rPr>
  </w:style>
  <w:style w:type="character" w:customStyle="1" w:styleId="110">
    <w:name w:val="一级缩进 Char"/>
    <w:link w:val="111"/>
    <w:qFormat/>
    <w:uiPriority w:val="0"/>
    <w:rPr>
      <w:rFonts w:eastAsia="仿宋_GB2312"/>
      <w:kern w:val="2"/>
      <w:sz w:val="32"/>
      <w:szCs w:val="32"/>
      <w:lang w:val="en-US" w:eastAsia="zh-CN" w:bidi="ar-SA"/>
    </w:rPr>
  </w:style>
  <w:style w:type="paragraph" w:customStyle="1" w:styleId="111">
    <w:name w:val="一级缩进"/>
    <w:link w:val="110"/>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12">
    <w:name w:val="批注框文本 Char1"/>
    <w:semiHidden/>
    <w:qFormat/>
    <w:uiPriority w:val="99"/>
    <w:rPr>
      <w:rFonts w:ascii="Times New Roman" w:hAnsi="Times New Roman"/>
      <w:kern w:val="2"/>
      <w:sz w:val="18"/>
      <w:szCs w:val="18"/>
    </w:rPr>
  </w:style>
  <w:style w:type="character" w:customStyle="1" w:styleId="113">
    <w:name w:val="列出段落 Char"/>
    <w:link w:val="114"/>
    <w:qFormat/>
    <w:locked/>
    <w:uiPriority w:val="0"/>
    <w:rPr>
      <w:rFonts w:ascii="Calibri" w:hAnsi="Calibri" w:eastAsia="宋体" w:cs="Times New Roman"/>
    </w:rPr>
  </w:style>
  <w:style w:type="paragraph" w:customStyle="1" w:styleId="114">
    <w:name w:val="列出段落1"/>
    <w:basedOn w:val="1"/>
    <w:link w:val="113"/>
    <w:qFormat/>
    <w:uiPriority w:val="0"/>
    <w:pPr>
      <w:ind w:firstLine="200" w:firstLineChars="200"/>
    </w:pPr>
    <w:rPr>
      <w:rFonts w:ascii="Calibri" w:hAnsi="Calibri"/>
      <w:kern w:val="0"/>
      <w:sz w:val="20"/>
      <w:szCs w:val="20"/>
    </w:rPr>
  </w:style>
  <w:style w:type="character" w:customStyle="1" w:styleId="115">
    <w:name w:val="Char Char9"/>
    <w:qFormat/>
    <w:uiPriority w:val="0"/>
    <w:rPr>
      <w:rFonts w:ascii="等线 Light" w:hAnsi="等线 Light" w:eastAsia="等线 Light" w:cs="Times New Roman"/>
      <w:b/>
      <w:bCs/>
      <w:sz w:val="28"/>
      <w:szCs w:val="28"/>
    </w:rPr>
  </w:style>
  <w:style w:type="character" w:customStyle="1" w:styleId="116">
    <w:name w:val="批注文字 Char"/>
    <w:qFormat/>
    <w:uiPriority w:val="99"/>
    <w:rPr>
      <w:kern w:val="2"/>
      <w:sz w:val="21"/>
      <w:szCs w:val="22"/>
    </w:rPr>
  </w:style>
  <w:style w:type="character" w:customStyle="1" w:styleId="117">
    <w:name w:val="表格文字 Char"/>
    <w:link w:val="118"/>
    <w:qFormat/>
    <w:uiPriority w:val="0"/>
    <w:rPr>
      <w:kern w:val="21"/>
      <w:szCs w:val="21"/>
    </w:rPr>
  </w:style>
  <w:style w:type="paragraph" w:customStyle="1" w:styleId="118">
    <w:name w:val="表格文字"/>
    <w:basedOn w:val="1"/>
    <w:link w:val="117"/>
    <w:qFormat/>
    <w:uiPriority w:val="0"/>
    <w:pPr>
      <w:jc w:val="left"/>
    </w:pPr>
    <w:rPr>
      <w:kern w:val="21"/>
      <w:sz w:val="20"/>
      <w:szCs w:val="21"/>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font21"/>
    <w:qFormat/>
    <w:uiPriority w:val="0"/>
    <w:rPr>
      <w:rFonts w:hint="eastAsia" w:ascii="仿宋_GB2312" w:hAnsi="Times New Roman" w:eastAsia="仿宋_GB2312" w:cs="仿宋_GB2312"/>
      <w:color w:val="000000"/>
      <w:sz w:val="22"/>
      <w:szCs w:val="22"/>
      <w:u w:val="none"/>
    </w:rPr>
  </w:style>
  <w:style w:type="character" w:customStyle="1" w:styleId="121">
    <w:name w:val="正文1 Char Char"/>
    <w:link w:val="55"/>
    <w:qFormat/>
    <w:locked/>
    <w:uiPriority w:val="99"/>
    <w:rPr>
      <w:rFonts w:ascii="微软雅黑" w:hAnsi="微软雅黑" w:eastAsia="微软雅黑"/>
      <w:kern w:val="2"/>
      <w:sz w:val="24"/>
    </w:rPr>
  </w:style>
  <w:style w:type="character" w:customStyle="1" w:styleId="122">
    <w:name w:val="font131"/>
    <w:qFormat/>
    <w:uiPriority w:val="0"/>
    <w:rPr>
      <w:rFonts w:ascii="Wingdings 2" w:hAnsi="Wingdings 2" w:eastAsia="Wingdings 2" w:cs="Wingdings 2"/>
      <w:color w:val="000000"/>
      <w:sz w:val="20"/>
      <w:szCs w:val="20"/>
      <w:u w:val="none"/>
    </w:rPr>
  </w:style>
  <w:style w:type="character" w:customStyle="1" w:styleId="123">
    <w:name w:val="unnamed11"/>
    <w:qFormat/>
    <w:uiPriority w:val="99"/>
    <w:rPr>
      <w:rFonts w:hint="eastAsia" w:ascii="宋体" w:hAnsi="宋体" w:eastAsia="宋体"/>
      <w:sz w:val="21"/>
      <w:szCs w:val="21"/>
    </w:rPr>
  </w:style>
  <w:style w:type="character" w:customStyle="1" w:styleId="124">
    <w:name w:val="font81"/>
    <w:qFormat/>
    <w:uiPriority w:val="0"/>
    <w:rPr>
      <w:rFonts w:ascii="Symbol" w:hAnsi="Symbol" w:cs="Symbol"/>
      <w:color w:val="000000"/>
      <w:sz w:val="20"/>
      <w:szCs w:val="20"/>
      <w:u w:val="none"/>
    </w:rPr>
  </w:style>
  <w:style w:type="character" w:customStyle="1" w:styleId="125">
    <w:name w:val="文档结构图 Char1"/>
    <w:semiHidden/>
    <w:qFormat/>
    <w:uiPriority w:val="99"/>
    <w:rPr>
      <w:rFonts w:ascii="宋体"/>
      <w:kern w:val="2"/>
      <w:sz w:val="18"/>
      <w:szCs w:val="18"/>
    </w:rPr>
  </w:style>
  <w:style w:type="character" w:customStyle="1" w:styleId="126">
    <w:name w:val="正文文本 3 Char1"/>
    <w:semiHidden/>
    <w:qFormat/>
    <w:uiPriority w:val="99"/>
    <w:rPr>
      <w:kern w:val="2"/>
      <w:sz w:val="16"/>
      <w:szCs w:val="16"/>
    </w:rPr>
  </w:style>
  <w:style w:type="character" w:customStyle="1" w:styleId="127">
    <w:name w:val="font221"/>
    <w:qFormat/>
    <w:uiPriority w:val="0"/>
    <w:rPr>
      <w:rFonts w:hint="eastAsia" w:ascii="宋体" w:hAnsi="宋体" w:eastAsia="宋体" w:cs="宋体"/>
      <w:b/>
      <w:color w:val="000000"/>
      <w:sz w:val="20"/>
      <w:szCs w:val="20"/>
      <w:u w:val="none"/>
    </w:rPr>
  </w:style>
  <w:style w:type="character" w:customStyle="1" w:styleId="128">
    <w:name w:val="正文文本缩进 Char1"/>
    <w:semiHidden/>
    <w:qFormat/>
    <w:uiPriority w:val="99"/>
  </w:style>
  <w:style w:type="character" w:customStyle="1" w:styleId="129">
    <w:name w:val="NormalCharacter"/>
    <w:qFormat/>
    <w:uiPriority w:val="0"/>
    <w:rPr>
      <w:kern w:val="2"/>
      <w:sz w:val="21"/>
      <w:szCs w:val="22"/>
      <w:lang w:val="en-US" w:eastAsia="zh-CN" w:bidi="ar-SA"/>
    </w:rPr>
  </w:style>
  <w:style w:type="character" w:customStyle="1" w:styleId="130">
    <w:name w:val="font111"/>
    <w:qFormat/>
    <w:uiPriority w:val="0"/>
    <w:rPr>
      <w:rFonts w:hint="eastAsia" w:ascii="宋体" w:hAnsi="宋体" w:eastAsia="宋体" w:cs="宋体"/>
      <w:color w:val="FF0000"/>
      <w:sz w:val="18"/>
      <w:szCs w:val="18"/>
      <w:u w:val="none"/>
    </w:rPr>
  </w:style>
  <w:style w:type="character" w:customStyle="1" w:styleId="131">
    <w:name w:val="Char Char11"/>
    <w:qFormat/>
    <w:uiPriority w:val="0"/>
    <w:rPr>
      <w:rFonts w:ascii="Arial" w:hAnsi="Arial" w:eastAsia="宋体" w:cs="Times New Roman"/>
      <w:b/>
      <w:bCs/>
      <w:sz w:val="28"/>
      <w:szCs w:val="36"/>
    </w:rPr>
  </w:style>
  <w:style w:type="character" w:customStyle="1" w:styleId="132">
    <w:name w:val="top_title1"/>
    <w:qFormat/>
    <w:uiPriority w:val="0"/>
    <w:rPr>
      <w:b/>
      <w:bCs/>
      <w:color w:val="333333"/>
      <w:sz w:val="24"/>
      <w:szCs w:val="24"/>
    </w:rPr>
  </w:style>
  <w:style w:type="character" w:customStyle="1" w:styleId="133">
    <w:name w:val="正文缩进 Char1"/>
    <w:qFormat/>
    <w:locked/>
    <w:uiPriority w:val="0"/>
    <w:rPr>
      <w:rFonts w:ascii="Times New Roman" w:hAnsi="Times New Roman" w:eastAsia="宋体" w:cs="Times New Roman"/>
      <w:szCs w:val="20"/>
    </w:rPr>
  </w:style>
  <w:style w:type="character" w:customStyle="1" w:styleId="134">
    <w:name w:val="Char Char12"/>
    <w:qFormat/>
    <w:uiPriority w:val="0"/>
    <w:rPr>
      <w:b/>
      <w:bCs/>
      <w:kern w:val="44"/>
      <w:sz w:val="44"/>
      <w:szCs w:val="44"/>
    </w:rPr>
  </w:style>
  <w:style w:type="character" w:customStyle="1" w:styleId="135">
    <w:name w:val="font41"/>
    <w:qFormat/>
    <w:uiPriority w:val="0"/>
    <w:rPr>
      <w:rFonts w:hint="eastAsia" w:ascii="宋体" w:hAnsi="宋体" w:eastAsia="宋体"/>
      <w:color w:val="000000"/>
      <w:sz w:val="32"/>
      <w:szCs w:val="32"/>
      <w:u w:val="none"/>
    </w:rPr>
  </w:style>
  <w:style w:type="character" w:customStyle="1" w:styleId="136">
    <w:name w:val="font91"/>
    <w:qFormat/>
    <w:uiPriority w:val="0"/>
    <w:rPr>
      <w:rFonts w:hint="eastAsia" w:ascii="宋体" w:hAnsi="宋体" w:eastAsia="宋体" w:cs="宋体"/>
      <w:color w:val="000000"/>
      <w:sz w:val="16"/>
      <w:szCs w:val="16"/>
      <w:u w:val="none"/>
    </w:rPr>
  </w:style>
  <w:style w:type="character" w:customStyle="1" w:styleId="137">
    <w:name w:val="hover4"/>
    <w:qFormat/>
    <w:uiPriority w:val="0"/>
    <w:rPr>
      <w:color w:val="999999"/>
    </w:rPr>
  </w:style>
  <w:style w:type="character" w:customStyle="1" w:styleId="138">
    <w:name w:val="ca-161"/>
    <w:qFormat/>
    <w:uiPriority w:val="0"/>
    <w:rPr>
      <w:rFonts w:hint="eastAsia" w:ascii="宋体" w:hAnsi="宋体" w:eastAsia="宋体"/>
      <w:spacing w:val="0"/>
      <w:sz w:val="21"/>
      <w:szCs w:val="21"/>
    </w:rPr>
  </w:style>
  <w:style w:type="character" w:customStyle="1" w:styleId="139">
    <w:name w:val="font161"/>
    <w:qFormat/>
    <w:uiPriority w:val="0"/>
    <w:rPr>
      <w:rFonts w:hint="eastAsia" w:ascii="宋体" w:hAnsi="宋体" w:eastAsia="宋体" w:cs="宋体"/>
      <w:b/>
      <w:color w:val="FF0000"/>
      <w:sz w:val="20"/>
      <w:szCs w:val="20"/>
      <w:u w:val="none"/>
    </w:rPr>
  </w:style>
  <w:style w:type="character" w:customStyle="1" w:styleId="140">
    <w:name w:val="font141"/>
    <w:qFormat/>
    <w:uiPriority w:val="0"/>
    <w:rPr>
      <w:rFonts w:hint="eastAsia" w:ascii="宋体" w:hAnsi="宋体" w:eastAsia="宋体" w:cs="宋体"/>
      <w:color w:val="FF0000"/>
      <w:sz w:val="20"/>
      <w:szCs w:val="20"/>
      <w:u w:val="none"/>
      <w:vertAlign w:val="superscript"/>
    </w:rPr>
  </w:style>
  <w:style w:type="character" w:customStyle="1" w:styleId="141">
    <w:name w:val="H2 Char"/>
    <w:qFormat/>
    <w:uiPriority w:val="0"/>
    <w:rPr>
      <w:rFonts w:ascii="Arial" w:hAnsi="Arial" w:eastAsia="黑体" w:cs="Times New Roman"/>
      <w:b/>
      <w:bCs/>
      <w:sz w:val="32"/>
      <w:szCs w:val="32"/>
    </w:rPr>
  </w:style>
  <w:style w:type="character" w:customStyle="1" w:styleId="142">
    <w:name w:val="font171"/>
    <w:qFormat/>
    <w:uiPriority w:val="0"/>
    <w:rPr>
      <w:rFonts w:hint="eastAsia" w:ascii="宋体" w:hAnsi="宋体" w:eastAsia="宋体" w:cs="宋体"/>
      <w:color w:val="000000"/>
      <w:sz w:val="20"/>
      <w:szCs w:val="20"/>
      <w:u w:val="none"/>
    </w:rPr>
  </w:style>
  <w:style w:type="character" w:customStyle="1" w:styleId="143">
    <w:name w:val="无间隔 Char"/>
    <w:link w:val="144"/>
    <w:qFormat/>
    <w:locked/>
    <w:uiPriority w:val="0"/>
    <w:rPr>
      <w:kern w:val="2"/>
      <w:sz w:val="21"/>
      <w:szCs w:val="22"/>
      <w:lang w:val="en-US" w:eastAsia="zh-CN" w:bidi="ar-SA"/>
    </w:rPr>
  </w:style>
  <w:style w:type="paragraph" w:customStyle="1" w:styleId="144">
    <w:name w:val="msonospacing"/>
    <w:link w:val="1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正文 1.1"/>
    <w:basedOn w:val="1"/>
    <w:next w:val="146"/>
    <w:qFormat/>
    <w:uiPriority w:val="0"/>
    <w:pPr>
      <w:numPr>
        <w:ilvl w:val="1"/>
        <w:numId w:val="4"/>
      </w:numPr>
      <w:ind w:firstLine="550"/>
      <w:outlineLvl w:val="1"/>
    </w:pPr>
    <w:rPr>
      <w:rFonts w:ascii="仿宋" w:hAnsi="仿宋"/>
      <w:b/>
    </w:rPr>
  </w:style>
  <w:style w:type="paragraph" w:customStyle="1" w:styleId="146">
    <w:name w:val="正文 1.1.1"/>
    <w:basedOn w:val="1"/>
    <w:next w:val="1"/>
    <w:qFormat/>
    <w:uiPriority w:val="0"/>
    <w:pPr>
      <w:numPr>
        <w:ilvl w:val="2"/>
        <w:numId w:val="4"/>
      </w:numPr>
      <w:outlineLvl w:val="2"/>
    </w:pPr>
    <w:rPr>
      <w:rFonts w:hAnsi="宋体"/>
      <w:color w:val="FF0000"/>
    </w:rPr>
  </w:style>
  <w:style w:type="paragraph" w:customStyle="1" w:styleId="147">
    <w:name w:val="Char1 Char Char Char Char Char Char"/>
    <w:basedOn w:val="1"/>
    <w:qFormat/>
    <w:uiPriority w:val="0"/>
    <w:rPr>
      <w:szCs w:val="24"/>
    </w:rPr>
  </w:style>
  <w:style w:type="paragraph" w:customStyle="1" w:styleId="148">
    <w:name w:val="ListBullet2"/>
    <w:basedOn w:val="1"/>
    <w:qFormat/>
    <w:uiPriority w:val="0"/>
    <w:pPr>
      <w:tabs>
        <w:tab w:val="left" w:pos="780"/>
      </w:tabs>
      <w:ind w:left="780" w:hanging="360"/>
      <w:textAlignment w:val="baseline"/>
    </w:pPr>
  </w:style>
  <w:style w:type="paragraph" w:customStyle="1" w:styleId="149">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50">
    <w:name w:val="unnamed1"/>
    <w:basedOn w:val="1"/>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51">
    <w:name w:val="文档标题"/>
    <w:basedOn w:val="1"/>
    <w:qFormat/>
    <w:uiPriority w:val="0"/>
    <w:pPr>
      <w:spacing w:beforeLines="100" w:afterLines="100" w:line="300" w:lineRule="auto"/>
      <w:jc w:val="center"/>
    </w:pPr>
    <w:rPr>
      <w:rFonts w:ascii="Arial" w:hAnsi="Arial" w:eastAsia="黑体" w:cs="Arial"/>
      <w:b/>
      <w:sz w:val="48"/>
      <w:szCs w:val="32"/>
    </w:rPr>
  </w:style>
  <w:style w:type="paragraph" w:customStyle="1" w:styleId="152">
    <w:name w:val="Char"/>
    <w:basedOn w:val="1"/>
    <w:qFormat/>
    <w:uiPriority w:val="0"/>
    <w:pPr>
      <w:tabs>
        <w:tab w:val="left" w:pos="360"/>
      </w:tabs>
      <w:ind w:firstLine="200" w:firstLineChars="200"/>
    </w:pPr>
    <w:rPr>
      <w:sz w:val="28"/>
      <w:szCs w:val="30"/>
    </w:rPr>
  </w:style>
  <w:style w:type="paragraph" w:customStyle="1" w:styleId="153">
    <w:name w:val="Char1"/>
    <w:basedOn w:val="1"/>
    <w:qFormat/>
    <w:uiPriority w:val="0"/>
    <w:rPr>
      <w:rFonts w:ascii="仿宋_GB2312" w:eastAsia="仿宋_GB2312"/>
      <w:b/>
      <w:sz w:val="32"/>
      <w:szCs w:val="32"/>
    </w:rPr>
  </w:style>
  <w:style w:type="paragraph" w:customStyle="1" w:styleId="154">
    <w:name w:val="FUNO正文"/>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55">
    <w:name w:val="Normal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List Paragraph1"/>
    <w:basedOn w:val="1"/>
    <w:qFormat/>
    <w:uiPriority w:val="0"/>
    <w:pPr>
      <w:ind w:firstLine="420" w:firstLineChars="200"/>
    </w:pPr>
    <w:rPr>
      <w:szCs w:val="20"/>
    </w:rPr>
  </w:style>
  <w:style w:type="paragraph" w:customStyle="1" w:styleId="157">
    <w:name w:val="CD 正文"/>
    <w:basedOn w:val="1"/>
    <w:qFormat/>
    <w:uiPriority w:val="0"/>
    <w:pPr>
      <w:jc w:val="left"/>
    </w:pPr>
    <w:rPr>
      <w:rFonts w:ascii="Arial" w:hAnsi="Arial" w:eastAsia="微软雅黑" w:cs="Arial"/>
      <w:szCs w:val="21"/>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Default Paragraph Font Para Char"/>
    <w:basedOn w:val="1"/>
    <w:qFormat/>
    <w:uiPriority w:val="0"/>
    <w:pPr>
      <w:widowControl/>
      <w:spacing w:beforeLines="50" w:after="160" w:line="240" w:lineRule="exact"/>
      <w:jc w:val="left"/>
    </w:pPr>
    <w:rPr>
      <w:rFonts w:ascii="Verdana" w:hAnsi="Verdana"/>
      <w:kern w:val="0"/>
      <w:sz w:val="20"/>
      <w:szCs w:val="20"/>
      <w:lang w:eastAsia="en-US"/>
    </w:rPr>
  </w:style>
  <w:style w:type="paragraph" w:customStyle="1" w:styleId="160">
    <w:name w:val="正文缩进1"/>
    <w:basedOn w:val="1"/>
    <w:qFormat/>
    <w:uiPriority w:val="0"/>
    <w:pPr>
      <w:widowControl/>
      <w:spacing w:line="360" w:lineRule="auto"/>
      <w:ind w:firstLine="420"/>
      <w:jc w:val="left"/>
    </w:pPr>
    <w:rPr>
      <w:rFonts w:ascii="宋体"/>
      <w:kern w:val="0"/>
      <w:sz w:val="20"/>
      <w:szCs w:val="20"/>
    </w:rPr>
  </w:style>
  <w:style w:type="paragraph" w:customStyle="1" w:styleId="161">
    <w:name w:val="Char2"/>
    <w:basedOn w:val="1"/>
    <w:qFormat/>
    <w:uiPriority w:val="0"/>
    <w:pPr>
      <w:tabs>
        <w:tab w:val="left" w:pos="1350"/>
      </w:tabs>
      <w:ind w:left="1350" w:hanging="1350"/>
    </w:pPr>
    <w:rPr>
      <w:sz w:val="24"/>
      <w:szCs w:val="24"/>
    </w:rPr>
  </w:style>
  <w:style w:type="paragraph" w:customStyle="1" w:styleId="162">
    <w:name w:val="纯文本1"/>
    <w:qFormat/>
    <w:uiPriority w:val="0"/>
    <w:pPr>
      <w:framePr w:wrap="around" w:vAnchor="margin" w:hAnchor="text" w:yAlign="top"/>
      <w:spacing w:before="100" w:after="100"/>
    </w:pPr>
    <w:rPr>
      <w:rFonts w:ascii="宋体" w:hAnsi="宋体" w:eastAsia="宋体" w:cs="宋体"/>
      <w:color w:val="000000"/>
      <w:sz w:val="24"/>
      <w:szCs w:val="24"/>
      <w:u w:color="000000"/>
      <w:lang w:val="en-US" w:eastAsia="zh-CN" w:bidi="ar-SA"/>
    </w:rPr>
  </w:style>
  <w:style w:type="paragraph" w:customStyle="1" w:styleId="163">
    <w:name w:val="Char Char Char Char Char Char Char"/>
    <w:basedOn w:val="12"/>
    <w:qFormat/>
    <w:uiPriority w:val="0"/>
    <w:pPr>
      <w:shd w:val="clear" w:color="auto" w:fill="000080"/>
    </w:pPr>
    <w:rPr>
      <w:rFonts w:ascii="Times New Roman"/>
      <w:sz w:val="21"/>
      <w:szCs w:val="20"/>
    </w:rPr>
  </w:style>
  <w:style w:type="paragraph" w:customStyle="1" w:styleId="164">
    <w:name w:val="文档正文"/>
    <w:basedOn w:val="1"/>
    <w:qFormat/>
    <w:uiPriority w:val="0"/>
    <w:pPr>
      <w:adjustRightInd w:val="0"/>
      <w:spacing w:line="480" w:lineRule="atLeast"/>
      <w:ind w:firstLine="567"/>
      <w:textAlignment w:val="baseline"/>
    </w:pPr>
    <w:rPr>
      <w:rFonts w:ascii="仿宋_GB2312" w:eastAsia="仿宋_GB2312"/>
      <w:kern w:val="0"/>
      <w:sz w:val="28"/>
      <w:szCs w:val="24"/>
    </w:rPr>
  </w:style>
  <w:style w:type="paragraph" w:styleId="165">
    <w:name w:val="List Paragraph"/>
    <w:basedOn w:val="1"/>
    <w:qFormat/>
    <w:uiPriority w:val="34"/>
    <w:pPr>
      <w:ind w:left="720"/>
    </w:pPr>
    <w:rPr>
      <w:szCs w:val="21"/>
    </w:rPr>
  </w:style>
  <w:style w:type="paragraph" w:customStyle="1" w:styleId="166">
    <w:name w:val="二级目录"/>
    <w:next w:val="1"/>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67">
    <w:name w:val="p0"/>
    <w:basedOn w:val="1"/>
    <w:qFormat/>
    <w:uiPriority w:val="0"/>
    <w:pPr>
      <w:widowControl/>
    </w:pPr>
    <w:rPr>
      <w:kern w:val="0"/>
      <w:szCs w:val="21"/>
    </w:rPr>
  </w:style>
  <w:style w:type="paragraph" w:customStyle="1" w:styleId="16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69">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0">
    <w:name w:val="_Style 2"/>
    <w:basedOn w:val="1"/>
    <w:qFormat/>
    <w:uiPriority w:val="34"/>
    <w:pPr>
      <w:ind w:firstLine="420" w:firstLineChars="200"/>
    </w:pPr>
    <w:rPr>
      <w:szCs w:val="24"/>
    </w:rPr>
  </w:style>
  <w:style w:type="paragraph" w:customStyle="1" w:styleId="171">
    <w:name w:val="Table Paragraph"/>
    <w:basedOn w:val="1"/>
    <w:qFormat/>
    <w:uiPriority w:val="1"/>
    <w:rPr>
      <w:rFonts w:ascii="Calibri" w:hAnsi="Calibri"/>
      <w:lang w:eastAsia="en-US"/>
    </w:rPr>
  </w:style>
  <w:style w:type="character" w:customStyle="1" w:styleId="172">
    <w:name w:val="font31"/>
    <w:qFormat/>
    <w:uiPriority w:val="0"/>
    <w:rPr>
      <w:rFonts w:hint="eastAsia" w:ascii="宋体" w:hAnsi="宋体" w:eastAsia="宋体"/>
      <w:color w:val="000000"/>
      <w:sz w:val="21"/>
      <w:szCs w:val="21"/>
      <w:u w:val="none"/>
    </w:rPr>
  </w:style>
  <w:style w:type="paragraph" w:customStyle="1" w:styleId="173">
    <w:name w:val="UserStyle_0"/>
    <w:basedOn w:val="1"/>
    <w:qFormat/>
    <w:uiPriority w:val="0"/>
    <w:pPr>
      <w:ind w:firstLine="480" w:firstLineChars="200"/>
      <w:textAlignment w:val="baseline"/>
    </w:pPr>
  </w:style>
  <w:style w:type="character" w:customStyle="1" w:styleId="174">
    <w:name w:val="页脚 字符"/>
    <w:qFormat/>
    <w:uiPriority w:val="99"/>
    <w:rPr>
      <w:kern w:val="2"/>
      <w:sz w:val="18"/>
      <w:szCs w:val="18"/>
    </w:rPr>
  </w:style>
  <w:style w:type="paragraph" w:customStyle="1" w:styleId="175">
    <w:name w:val="一级标题"/>
    <w:basedOn w:val="1"/>
    <w:qFormat/>
    <w:uiPriority w:val="0"/>
    <w:pPr>
      <w:spacing w:line="360" w:lineRule="auto"/>
      <w:jc w:val="center"/>
      <w:outlineLvl w:val="0"/>
    </w:pPr>
    <w:rPr>
      <w:rFonts w:asciiTheme="minorEastAsia" w:hAnsiTheme="minorEastAsia" w:eastAsiaTheme="minorEastAsia"/>
      <w:b/>
      <w:bCs/>
      <w:kern w:val="32"/>
      <w:sz w:val="28"/>
      <w:szCs w:val="28"/>
      <w:lang w:val="zh-CN"/>
    </w:rPr>
  </w:style>
  <w:style w:type="paragraph" w:customStyle="1" w:styleId="176">
    <w:name w:val="二级标题"/>
    <w:basedOn w:val="3"/>
    <w:qFormat/>
    <w:uiPriority w:val="0"/>
    <w:pPr>
      <w:spacing w:line="440" w:lineRule="exact"/>
    </w:pPr>
    <w:rPr>
      <w:rFonts w:asciiTheme="minorEastAsia" w:hAnsiTheme="minorEastAsia" w:eastAsiaTheme="minorEastAsia"/>
      <w:sz w:val="24"/>
      <w:szCs w:val="24"/>
    </w:rPr>
  </w:style>
  <w:style w:type="paragraph" w:customStyle="1" w:styleId="177">
    <w:name w:val="宋体，行距22磅，首行缩进2字符"/>
    <w:basedOn w:val="1"/>
    <w:qFormat/>
    <w:uiPriority w:val="0"/>
    <w:pPr>
      <w:spacing w:line="440" w:lineRule="exact"/>
      <w:ind w:firstLine="480" w:firstLineChars="200"/>
    </w:pPr>
    <w:rPr>
      <w:rFonts w:asciiTheme="minorEastAsia" w:hAnsiTheme="minorEastAsia" w:eastAsiaTheme="minorEastAsia"/>
      <w:bCs/>
      <w:sz w:val="24"/>
    </w:rPr>
  </w:style>
  <w:style w:type="paragraph" w:customStyle="1" w:styleId="178">
    <w:name w:val="三级标题"/>
    <w:basedOn w:val="179"/>
    <w:qFormat/>
    <w:uiPriority w:val="0"/>
    <w:pPr>
      <w:tabs>
        <w:tab w:val="left" w:pos="3836"/>
      </w:tabs>
      <w:spacing w:line="440" w:lineRule="exact"/>
      <w:ind w:firstLine="0" w:firstLineChars="0"/>
      <w:outlineLvl w:val="2"/>
    </w:pPr>
    <w:rPr>
      <w:rFonts w:asciiTheme="minorEastAsia" w:hAnsiTheme="minorEastAsia" w:eastAsiaTheme="minorEastAsia"/>
      <w:sz w:val="24"/>
      <w:szCs w:val="24"/>
    </w:rPr>
  </w:style>
  <w:style w:type="paragraph" w:customStyle="1" w:styleId="179">
    <w:name w:val="样式15"/>
    <w:basedOn w:val="21"/>
    <w:qFormat/>
    <w:uiPriority w:val="0"/>
    <w:pPr>
      <w:tabs>
        <w:tab w:val="left" w:pos="3836"/>
      </w:tabs>
      <w:spacing w:line="500" w:lineRule="exact"/>
      <w:ind w:firstLine="566" w:firstLineChars="202"/>
    </w:pPr>
    <w:rPr>
      <w:rFonts w:eastAsia="Times New Roman"/>
      <w:szCs w:val="20"/>
    </w:rPr>
  </w:style>
  <w:style w:type="character" w:customStyle="1" w:styleId="180">
    <w:name w:val="fontstyle01"/>
    <w:basedOn w:val="36"/>
    <w:qFormat/>
    <w:uiPriority w:val="0"/>
    <w:rPr>
      <w:rFonts w:ascii="宋体" w:hAnsi="宋体" w:eastAsia="宋体" w:cs="宋体"/>
      <w:color w:val="000000"/>
      <w:sz w:val="24"/>
      <w:szCs w:val="24"/>
    </w:rPr>
  </w:style>
  <w:style w:type="character" w:customStyle="1" w:styleId="181">
    <w:name w:val="fontstyle21"/>
    <w:basedOn w:val="36"/>
    <w:qFormat/>
    <w:uiPriority w:val="0"/>
    <w:rPr>
      <w:rFonts w:ascii="TimesNewRomanPSMT" w:hAnsi="TimesNewRomanPSMT" w:eastAsia="TimesNewRomanPSMT" w:cs="TimesNewRomanPSMT"/>
      <w:color w:val="000000"/>
      <w:sz w:val="24"/>
      <w:szCs w:val="24"/>
    </w:rPr>
  </w:style>
  <w:style w:type="paragraph" w:customStyle="1" w:styleId="182">
    <w:name w:val="Table Text"/>
    <w:basedOn w:val="1"/>
    <w:semiHidden/>
    <w:qFormat/>
    <w:uiPriority w:val="0"/>
    <w:rPr>
      <w:rFonts w:ascii="宋体" w:hAnsi="宋体" w:cs="宋体"/>
      <w:sz w:val="28"/>
      <w:szCs w:val="28"/>
      <w:lang w:eastAsia="en-US"/>
    </w:rPr>
  </w:style>
  <w:style w:type="paragraph" w:customStyle="1" w:styleId="183">
    <w:name w:val="正文11"/>
    <w:next w:val="184"/>
    <w:qFormat/>
    <w:uiPriority w:val="0"/>
    <w:pPr>
      <w:widowControl w:val="0"/>
      <w:jc w:val="both"/>
    </w:pPr>
    <w:rPr>
      <w:rFonts w:ascii="Calibri" w:hAnsi="Calibri" w:eastAsia="宋体" w:cs="Times New Roman"/>
      <w:sz w:val="21"/>
      <w:szCs w:val="21"/>
      <w:lang w:val="en-US" w:eastAsia="zh-CN" w:bidi="ar-SA"/>
    </w:rPr>
  </w:style>
  <w:style w:type="paragraph" w:customStyle="1" w:styleId="184">
    <w:name w:val="正文首行缩进 21"/>
    <w:basedOn w:val="185"/>
    <w:qFormat/>
    <w:uiPriority w:val="0"/>
    <w:pPr>
      <w:ind w:firstLine="420"/>
    </w:pPr>
    <w:rPr>
      <w:sz w:val="20"/>
    </w:rPr>
  </w:style>
  <w:style w:type="paragraph" w:customStyle="1" w:styleId="185">
    <w:name w:val="正文文本缩进1"/>
    <w:basedOn w:val="183"/>
    <w:next w:val="186"/>
    <w:qFormat/>
    <w:uiPriority w:val="0"/>
    <w:pPr>
      <w:spacing w:line="400" w:lineRule="exact"/>
      <w:ind w:firstLine="540"/>
    </w:pPr>
    <w:rPr>
      <w:sz w:val="24"/>
    </w:rPr>
  </w:style>
  <w:style w:type="paragraph" w:customStyle="1" w:styleId="186">
    <w:name w:val="寄信人地址1"/>
    <w:basedOn w:val="183"/>
    <w:qFormat/>
    <w:uiPriority w:val="0"/>
    <w:rPr>
      <w:rFonts w:ascii="Arial" w:hAnsi="Arial"/>
    </w:rPr>
  </w:style>
  <w:style w:type="paragraph" w:customStyle="1" w:styleId="187">
    <w:name w:val="正文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8">
    <w:name w:val="标题 31"/>
    <w:basedOn w:val="55"/>
    <w:next w:val="1"/>
    <w:qFormat/>
    <w:uiPriority w:val="0"/>
    <w:pPr>
      <w:keepNext/>
      <w:keepLines/>
      <w:spacing w:before="260" w:after="260" w:line="413" w:lineRule="auto"/>
      <w:outlineLvl w:val="2"/>
    </w:pPr>
    <w:rPr>
      <w:rFonts w:eastAsia="宋体"/>
      <w:b/>
      <w:sz w:val="32"/>
    </w:rPr>
  </w:style>
  <w:style w:type="paragraph" w:customStyle="1" w:styleId="18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16303</Words>
  <Characters>17295</Characters>
  <Lines>34</Lines>
  <Paragraphs>81</Paragraphs>
  <TotalTime>0</TotalTime>
  <ScaleCrop>false</ScaleCrop>
  <LinksUpToDate>false</LinksUpToDate>
  <CharactersWithSpaces>19299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2017-10-30T05:22:00Z</dcterms:created>
  <dc:creator>二九</dc:creator>
  <cp:lastModifiedBy>l</cp:lastModifiedBy>
  <cp:lastPrinted>2024-12-06T07:15:00Z</cp:lastPrinted>
  <dcterms:modified xsi:type="dcterms:W3CDTF">2025-06-03T06:34:59Z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101EDA75D4A340D18E0FB65AAFC3A3A4_13</vt:lpwstr>
  </property>
  <property fmtid="{D5CDD505-2E9C-101B-9397-08002B2CF9AE}" pid="4" name="KSOTemplateDocerSaveRecord">
    <vt:lpwstr>eyJoZGlkIjoiZmY5ZjY0NjFhYTdhM2E1MjM3YmYxNDBkNWE3NzU4OGUiLCJ1c2VySWQiOiI5NzY4NjUwOTYifQ==</vt:lpwstr>
  </property>
</Properties>
</file>