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2FB3D">
      <w:pPr>
        <w:pStyle w:val="20"/>
        <w:shd w:val="clear"/>
        <w:snapToGrid w:val="0"/>
        <w:spacing w:before="120" w:after="120" w:line="360" w:lineRule="auto"/>
        <w:jc w:val="right"/>
        <w:rPr>
          <w:rFonts w:hint="eastAsia" w:hAnsi="宋体" w:eastAsia="宋体" w:cs="宋体"/>
          <w:b/>
          <w:color w:val="auto"/>
          <w:sz w:val="36"/>
          <w:szCs w:val="36"/>
          <w:highlight w:val="none"/>
          <w:lang w:eastAsia="zh-CN"/>
        </w:rPr>
      </w:pPr>
      <w:r>
        <w:rPr>
          <w:rFonts w:hint="eastAsia" w:ascii="Times New Roman" w:hAnsi="Times New Roman" w:cs="宋体"/>
          <w:b/>
          <w:bCs/>
          <w:color w:val="auto"/>
          <w:sz w:val="36"/>
          <w:szCs w:val="36"/>
          <w:highlight w:val="none"/>
          <w:lang w:eastAsia="zh-CN"/>
        </w:rPr>
        <w:t>JSSDZX-2025124号</w:t>
      </w:r>
    </w:p>
    <w:p w14:paraId="6741E41C">
      <w:pPr>
        <w:shd w:val="clear"/>
        <w:jc w:val="right"/>
        <w:rPr>
          <w:rFonts w:ascii="宋体" w:hAnsi="宋体"/>
          <w:color w:val="auto"/>
          <w:sz w:val="36"/>
          <w:highlight w:val="none"/>
        </w:rPr>
      </w:pPr>
    </w:p>
    <w:p w14:paraId="4CBD6637">
      <w:pPr>
        <w:shd w:val="clear"/>
        <w:jc w:val="center"/>
        <w:rPr>
          <w:rFonts w:hint="eastAsia" w:eastAsia="宋体" w:cs="宋体"/>
          <w:b/>
          <w:bCs/>
          <w:color w:val="auto"/>
          <w:sz w:val="36"/>
          <w:highlight w:val="none"/>
          <w:lang w:eastAsia="zh-CN"/>
        </w:rPr>
      </w:pPr>
      <w:r>
        <w:rPr>
          <w:rFonts w:hint="eastAsia" w:cs="宋体"/>
          <w:b/>
          <w:bCs/>
          <w:color w:val="auto"/>
          <w:sz w:val="36"/>
          <w:highlight w:val="none"/>
          <w:lang w:eastAsia="zh-CN"/>
        </w:rPr>
        <w:t>GZ627地块房地产开发项目营销代理服务</w:t>
      </w:r>
    </w:p>
    <w:p w14:paraId="4BA017F8">
      <w:pPr>
        <w:shd w:val="clear"/>
        <w:jc w:val="center"/>
        <w:rPr>
          <w:rFonts w:ascii="宋体" w:hAnsi="宋体" w:cs="宋体"/>
          <w:b/>
          <w:bCs/>
          <w:color w:val="auto"/>
          <w:sz w:val="36"/>
          <w:highlight w:val="none"/>
        </w:rPr>
      </w:pPr>
      <w:r>
        <w:rPr>
          <w:rFonts w:hint="eastAsia" w:ascii="宋体" w:hAnsi="宋体" w:cs="宋体"/>
          <w:b/>
          <w:bCs/>
          <w:color w:val="auto"/>
          <w:sz w:val="36"/>
          <w:highlight w:val="none"/>
        </w:rPr>
        <w:t>公开招标文件</w:t>
      </w:r>
    </w:p>
    <w:p w14:paraId="18AA069B">
      <w:pPr>
        <w:shd w:val="clear"/>
        <w:jc w:val="center"/>
        <w:rPr>
          <w:rFonts w:ascii="宋体" w:hAnsi="宋体" w:cs="宋体"/>
          <w:color w:val="auto"/>
          <w:sz w:val="36"/>
          <w:highlight w:val="none"/>
        </w:rPr>
      </w:pPr>
    </w:p>
    <w:p w14:paraId="39E2EE5E">
      <w:pPr>
        <w:shd w:val="clear"/>
        <w:jc w:val="left"/>
        <w:rPr>
          <w:rFonts w:ascii="宋体" w:hAnsi="宋体" w:cs="宋体"/>
          <w:color w:val="auto"/>
          <w:sz w:val="36"/>
          <w:highlight w:val="none"/>
        </w:rPr>
      </w:pPr>
      <w:r>
        <w:rPr>
          <w:rFonts w:hint="eastAsia" w:ascii="宋体" w:hAnsi="宋体" w:cs="宋体"/>
          <w:color w:val="auto"/>
          <w:sz w:val="36"/>
          <w:highlight w:val="none"/>
        </w:rPr>
        <w:drawing>
          <wp:anchor distT="0" distB="0" distL="0" distR="0" simplePos="0" relativeHeight="251659264" behindDoc="0" locked="0" layoutInCell="1" allowOverlap="1">
            <wp:simplePos x="0" y="0"/>
            <wp:positionH relativeFrom="column">
              <wp:posOffset>409575</wp:posOffset>
            </wp:positionH>
            <wp:positionV relativeFrom="paragraph">
              <wp:posOffset>20955</wp:posOffset>
            </wp:positionV>
            <wp:extent cx="5274310" cy="3518535"/>
            <wp:effectExtent l="0" t="0" r="2540" b="5715"/>
            <wp:wrapTopAndBottom/>
            <wp:docPr id="1" name="图片 1" descr="src=http__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rc=http___ww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3518627"/>
                    </a:xfrm>
                    <a:prstGeom prst="rect">
                      <a:avLst/>
                    </a:prstGeom>
                    <a:noFill/>
                    <a:ln>
                      <a:noFill/>
                    </a:ln>
                  </pic:spPr>
                </pic:pic>
              </a:graphicData>
            </a:graphic>
          </wp:anchor>
        </w:drawing>
      </w:r>
    </w:p>
    <w:p w14:paraId="6AAD1B0B">
      <w:pPr>
        <w:shd w:val="clear"/>
        <w:jc w:val="center"/>
        <w:rPr>
          <w:rFonts w:ascii="宋体" w:hAnsi="宋体" w:cs="宋体"/>
          <w:color w:val="auto"/>
          <w:sz w:val="36"/>
          <w:highlight w:val="none"/>
        </w:rPr>
      </w:pPr>
    </w:p>
    <w:p w14:paraId="18EE0F19">
      <w:pPr>
        <w:shd w:val="clear"/>
        <w:ind w:firstLine="506" w:firstLineChars="200"/>
        <w:rPr>
          <w:rFonts w:ascii="宋体" w:hAnsi="宋体" w:cs="宋体"/>
          <w:b/>
          <w:bCs/>
          <w:color w:val="auto"/>
          <w:w w:val="90"/>
          <w:kern w:val="0"/>
          <w:sz w:val="28"/>
          <w:szCs w:val="28"/>
          <w:highlight w:val="none"/>
          <w:shd w:val="clear" w:color="auto" w:fill="FFFF00"/>
        </w:rPr>
      </w:pPr>
      <w:r>
        <w:rPr>
          <w:rFonts w:hint="eastAsia" w:ascii="宋体" w:hAnsi="宋体" w:cs="宋体"/>
          <w:b/>
          <w:bCs/>
          <w:color w:val="auto"/>
          <w:w w:val="90"/>
          <w:kern w:val="0"/>
          <w:sz w:val="28"/>
          <w:szCs w:val="28"/>
          <w:highlight w:val="none"/>
        </w:rPr>
        <w:t>采购人：扬州锦毓置业有限公司</w:t>
      </w:r>
    </w:p>
    <w:p w14:paraId="4CFB8C11">
      <w:pPr>
        <w:shd w:val="clear"/>
        <w:ind w:firstLine="506" w:firstLineChars="200"/>
        <w:rPr>
          <w:rFonts w:ascii="宋体" w:hAnsi="宋体" w:cs="宋体"/>
          <w:b/>
          <w:bCs/>
          <w:color w:val="auto"/>
          <w:w w:val="90"/>
          <w:kern w:val="0"/>
          <w:sz w:val="28"/>
          <w:szCs w:val="28"/>
          <w:highlight w:val="none"/>
        </w:rPr>
      </w:pPr>
      <w:r>
        <w:rPr>
          <w:rFonts w:hint="eastAsia" w:ascii="宋体" w:hAnsi="宋体" w:cs="宋体"/>
          <w:b/>
          <w:bCs/>
          <w:color w:val="auto"/>
          <w:w w:val="90"/>
          <w:kern w:val="0"/>
          <w:sz w:val="28"/>
          <w:szCs w:val="28"/>
          <w:highlight w:val="none"/>
        </w:rPr>
        <w:t>采购代理机构(章)：江苏时代投资咨询有限公司</w:t>
      </w:r>
    </w:p>
    <w:p w14:paraId="7B84E114">
      <w:pPr>
        <w:shd w:val="clear"/>
        <w:ind w:firstLine="506" w:firstLineChars="200"/>
        <w:rPr>
          <w:rFonts w:ascii="宋体" w:hAnsi="宋体" w:cs="宋体"/>
          <w:b/>
          <w:bCs/>
          <w:color w:val="auto"/>
          <w:w w:val="90"/>
          <w:kern w:val="0"/>
          <w:sz w:val="28"/>
          <w:szCs w:val="28"/>
          <w:highlight w:val="none"/>
        </w:rPr>
      </w:pPr>
      <w:r>
        <w:rPr>
          <w:rFonts w:hint="eastAsia" w:ascii="宋体" w:hAnsi="宋体" w:cs="宋体"/>
          <w:b/>
          <w:bCs/>
          <w:color w:val="auto"/>
          <w:w w:val="90"/>
          <w:kern w:val="0"/>
          <w:sz w:val="28"/>
          <w:szCs w:val="28"/>
          <w:highlight w:val="none"/>
        </w:rPr>
        <w:t>发   放   日   期：</w:t>
      </w:r>
      <w:bookmarkStart w:id="0" w:name="EB59c3faf64f2a4bd092a206fb1d0c3c03"/>
      <w:r>
        <w:rPr>
          <w:rFonts w:hint="eastAsia" w:cs="宋体"/>
          <w:b/>
          <w:bCs/>
          <w:color w:val="auto"/>
          <w:w w:val="90"/>
          <w:kern w:val="0"/>
          <w:sz w:val="28"/>
          <w:szCs w:val="28"/>
          <w:highlight w:val="none"/>
        </w:rPr>
        <w:t>2025年</w:t>
      </w:r>
      <w:r>
        <w:rPr>
          <w:rFonts w:hint="eastAsia" w:cs="宋体"/>
          <w:b/>
          <w:bCs/>
          <w:color w:val="auto"/>
          <w:w w:val="90"/>
          <w:kern w:val="0"/>
          <w:sz w:val="28"/>
          <w:szCs w:val="28"/>
          <w:highlight w:val="none"/>
          <w:lang w:val="en-US" w:eastAsia="zh-CN"/>
        </w:rPr>
        <w:t>6</w:t>
      </w:r>
      <w:r>
        <w:rPr>
          <w:rFonts w:hint="eastAsia" w:ascii="宋体" w:hAnsi="宋体" w:cs="宋体"/>
          <w:b/>
          <w:bCs/>
          <w:color w:val="auto"/>
          <w:w w:val="90"/>
          <w:kern w:val="0"/>
          <w:sz w:val="28"/>
          <w:szCs w:val="28"/>
          <w:highlight w:val="none"/>
        </w:rPr>
        <w:t>月</w:t>
      </w:r>
      <w:bookmarkEnd w:id="0"/>
      <w:r>
        <w:rPr>
          <w:rFonts w:hint="eastAsia" w:cs="宋体"/>
          <w:b/>
          <w:bCs/>
          <w:color w:val="auto"/>
          <w:w w:val="90"/>
          <w:kern w:val="0"/>
          <w:sz w:val="28"/>
          <w:szCs w:val="28"/>
          <w:highlight w:val="none"/>
          <w:lang w:val="en-US" w:eastAsia="zh-CN"/>
        </w:rPr>
        <w:t>5</w:t>
      </w:r>
      <w:r>
        <w:rPr>
          <w:rFonts w:hint="eastAsia" w:ascii="宋体" w:hAnsi="宋体" w:cs="宋体"/>
          <w:b/>
          <w:bCs/>
          <w:color w:val="auto"/>
          <w:w w:val="90"/>
          <w:kern w:val="0"/>
          <w:sz w:val="28"/>
          <w:szCs w:val="28"/>
          <w:highlight w:val="none"/>
        </w:rPr>
        <w:t>日</w:t>
      </w:r>
    </w:p>
    <w:p w14:paraId="24D9A61E">
      <w:pPr>
        <w:shd w:val="clear"/>
        <w:spacing w:before="0" w:beforeLines="0" w:after="0" w:afterLines="0" w:line="240" w:lineRule="auto"/>
        <w:ind w:left="0" w:leftChars="0" w:right="0" w:rightChars="0" w:firstLine="0" w:firstLineChars="0"/>
        <w:jc w:val="center"/>
        <w:rPr>
          <w:rFonts w:ascii="宋体" w:hAnsi="宋体" w:eastAsia="宋体" w:cs="Times New Roman"/>
          <w:color w:val="auto"/>
          <w:kern w:val="2"/>
          <w:sz w:val="24"/>
          <w:szCs w:val="24"/>
          <w:highlight w:val="none"/>
          <w:lang w:val="en-US" w:eastAsia="zh-CN" w:bidi="ar-SA"/>
        </w:rPr>
        <w:sectPr>
          <w:headerReference r:id="rId3" w:type="default"/>
          <w:footerReference r:id="rId4" w:type="default"/>
          <w:pgSz w:w="11906" w:h="16838"/>
          <w:pgMar w:top="1270" w:right="1196" w:bottom="1270" w:left="1196" w:header="851" w:footer="850" w:gutter="0"/>
          <w:pgBorders>
            <w:top w:val="none" w:sz="0" w:space="0"/>
            <w:left w:val="none" w:sz="0" w:space="0"/>
            <w:bottom w:val="none" w:sz="0" w:space="0"/>
            <w:right w:val="none" w:sz="0" w:space="0"/>
          </w:pgBorders>
          <w:pgNumType w:start="1"/>
          <w:cols w:space="0" w:num="1"/>
          <w:docGrid w:type="lines" w:linePitch="312" w:charSpace="0"/>
        </w:sectPr>
      </w:pPr>
    </w:p>
    <w:sdt>
      <w:sdtPr>
        <w:rPr>
          <w:rFonts w:ascii="宋体" w:hAnsi="宋体" w:eastAsia="宋体" w:cs="Times New Roman"/>
          <w:color w:val="auto"/>
          <w:kern w:val="2"/>
          <w:sz w:val="21"/>
          <w:szCs w:val="22"/>
          <w:highlight w:val="none"/>
          <w:lang w:val="en-US" w:eastAsia="zh-CN" w:bidi="ar-SA"/>
        </w:rPr>
        <w:id w:val="147479511"/>
        <w15:color w:val="DBDBDB"/>
        <w:docPartObj>
          <w:docPartGallery w:val="Table of Contents"/>
          <w:docPartUnique/>
        </w:docPartObj>
      </w:sdtPr>
      <w:sdtEndPr>
        <w:rPr>
          <w:rFonts w:hint="eastAsia" w:ascii="楷体_GB2312" w:hAnsi="Times New Roman" w:eastAsia="楷体_GB2312" w:cs="Times New Roman"/>
          <w:b/>
          <w:bCs/>
          <w:color w:val="auto"/>
          <w:kern w:val="0"/>
          <w:sz w:val="28"/>
          <w:szCs w:val="24"/>
          <w:highlight w:val="none"/>
          <w:lang w:val="en-US" w:eastAsia="zh-CN" w:bidi="ar-SA"/>
        </w:rPr>
      </w:sdtEndPr>
      <w:sdtContent>
        <w:p w14:paraId="4A7C4F2D">
          <w:pPr>
            <w:keepNext w:val="0"/>
            <w:keepLines w:val="0"/>
            <w:pageBreakBefore w:val="0"/>
            <w:widowControl w:val="0"/>
            <w:kinsoku/>
            <w:wordWrap/>
            <w:overflowPunct/>
            <w:topLinePunct w:val="0"/>
            <w:autoSpaceDE/>
            <w:autoSpaceDN/>
            <w:bidi w:val="0"/>
            <w:adjustRightInd/>
            <w:spacing w:before="0" w:beforeLines="0" w:after="0" w:afterLines="0" w:line="360" w:lineRule="auto"/>
            <w:ind w:left="0" w:leftChars="0" w:right="0" w:rightChars="0" w:firstLine="0" w:firstLineChars="0"/>
            <w:jc w:val="center"/>
            <w:textAlignment w:val="auto"/>
            <w:rPr>
              <w:color w:val="auto"/>
              <w:highlight w:val="none"/>
            </w:rPr>
          </w:pPr>
          <w:r>
            <w:rPr>
              <w:rFonts w:ascii="宋体" w:hAnsi="宋体" w:eastAsia="宋体"/>
              <w:color w:val="auto"/>
              <w:sz w:val="21"/>
              <w:highlight w:val="none"/>
            </w:rPr>
            <w:t>目录</w:t>
          </w:r>
        </w:p>
        <w:p w14:paraId="26254C1F">
          <w:pPr>
            <w:pStyle w:val="26"/>
            <w:keepNext w:val="0"/>
            <w:keepLines w:val="0"/>
            <w:pageBreakBefore w:val="0"/>
            <w:widowControl w:val="0"/>
            <w:tabs>
              <w:tab w:val="right" w:leader="dot" w:pos="9514"/>
            </w:tabs>
            <w:kinsoku/>
            <w:wordWrap/>
            <w:overflowPunct/>
            <w:topLinePunct w:val="0"/>
            <w:autoSpaceDE/>
            <w:autoSpaceDN/>
            <w:bidi w:val="0"/>
            <w:adjustRightInd/>
            <w:spacing w:line="360"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TOC \o "1-1" \h \u </w:instrText>
          </w:r>
          <w:r>
            <w:rPr>
              <w:rFonts w:hint="eastAsia"/>
              <w:color w:val="auto"/>
              <w:highlight w:val="none"/>
            </w:rPr>
            <w:fldChar w:fldCharType="separate"/>
          </w:r>
          <w:r>
            <w:rPr>
              <w:rFonts w:hint="eastAsia"/>
              <w:color w:val="auto"/>
              <w:highlight w:val="none"/>
            </w:rPr>
            <w:fldChar w:fldCharType="begin"/>
          </w:r>
          <w:r>
            <w:rPr>
              <w:rFonts w:hint="eastAsia"/>
              <w:color w:val="auto"/>
              <w:highlight w:val="none"/>
            </w:rPr>
            <w:instrText xml:space="preserve"> HYPERLINK \l _Toc7835 </w:instrText>
          </w:r>
          <w:r>
            <w:rPr>
              <w:rFonts w:hint="eastAsia"/>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_Toc7835 \h </w:instrText>
          </w:r>
          <w:r>
            <w:rPr>
              <w:color w:val="auto"/>
              <w:highlight w:val="none"/>
            </w:rPr>
            <w:fldChar w:fldCharType="separate"/>
          </w:r>
          <w:r>
            <w:rPr>
              <w:color w:val="auto"/>
              <w:highlight w:val="none"/>
            </w:rPr>
            <w:t>1</w:t>
          </w:r>
          <w:r>
            <w:rPr>
              <w:color w:val="auto"/>
              <w:highlight w:val="none"/>
            </w:rPr>
            <w:fldChar w:fldCharType="end"/>
          </w:r>
          <w:r>
            <w:rPr>
              <w:rFonts w:hint="eastAsia"/>
              <w:color w:val="auto"/>
              <w:highlight w:val="none"/>
            </w:rPr>
            <w:fldChar w:fldCharType="end"/>
          </w:r>
        </w:p>
        <w:p w14:paraId="3B85C27A">
          <w:pPr>
            <w:pStyle w:val="26"/>
            <w:keepNext w:val="0"/>
            <w:keepLines w:val="0"/>
            <w:pageBreakBefore w:val="0"/>
            <w:widowControl w:val="0"/>
            <w:tabs>
              <w:tab w:val="right" w:leader="dot" w:pos="9514"/>
            </w:tabs>
            <w:kinsoku/>
            <w:wordWrap/>
            <w:overflowPunct/>
            <w:topLinePunct w:val="0"/>
            <w:autoSpaceDE/>
            <w:autoSpaceDN/>
            <w:bidi w:val="0"/>
            <w:adjustRightInd/>
            <w:spacing w:line="360"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_Toc3763 </w:instrText>
          </w:r>
          <w:r>
            <w:rPr>
              <w:rFonts w:hint="eastAsia"/>
              <w:color w:val="auto"/>
              <w:highlight w:val="none"/>
            </w:rPr>
            <w:fldChar w:fldCharType="separate"/>
          </w:r>
          <w:r>
            <w:rPr>
              <w:rFonts w:hint="eastAsia" w:ascii="宋体" w:hAnsi="宋体" w:cs="宋体"/>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_Toc3763 \h </w:instrText>
          </w:r>
          <w:r>
            <w:rPr>
              <w:color w:val="auto"/>
              <w:highlight w:val="none"/>
            </w:rPr>
            <w:fldChar w:fldCharType="separate"/>
          </w:r>
          <w:r>
            <w:rPr>
              <w:color w:val="auto"/>
              <w:highlight w:val="none"/>
            </w:rPr>
            <w:t>4</w:t>
          </w:r>
          <w:r>
            <w:rPr>
              <w:color w:val="auto"/>
              <w:highlight w:val="none"/>
            </w:rPr>
            <w:fldChar w:fldCharType="end"/>
          </w:r>
          <w:r>
            <w:rPr>
              <w:rFonts w:hint="eastAsia"/>
              <w:color w:val="auto"/>
              <w:highlight w:val="none"/>
            </w:rPr>
            <w:fldChar w:fldCharType="end"/>
          </w:r>
        </w:p>
        <w:p w14:paraId="1EDF8636">
          <w:pPr>
            <w:pStyle w:val="26"/>
            <w:keepNext w:val="0"/>
            <w:keepLines w:val="0"/>
            <w:pageBreakBefore w:val="0"/>
            <w:widowControl w:val="0"/>
            <w:tabs>
              <w:tab w:val="right" w:leader="dot" w:pos="9514"/>
            </w:tabs>
            <w:kinsoku/>
            <w:wordWrap/>
            <w:overflowPunct/>
            <w:topLinePunct w:val="0"/>
            <w:autoSpaceDE/>
            <w:autoSpaceDN/>
            <w:bidi w:val="0"/>
            <w:adjustRightInd/>
            <w:spacing w:line="360"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_Toc5806 </w:instrText>
          </w:r>
          <w:r>
            <w:rPr>
              <w:rFonts w:hint="eastAsia"/>
              <w:color w:val="auto"/>
              <w:highlight w:val="none"/>
            </w:rPr>
            <w:fldChar w:fldCharType="separate"/>
          </w:r>
          <w:r>
            <w:rPr>
              <w:rFonts w:hint="eastAsia" w:ascii="宋体" w:hAnsi="宋体"/>
              <w:color w:val="auto"/>
              <w:highlight w:val="none"/>
            </w:rPr>
            <w:t>第三章 合同条款及格式</w:t>
          </w:r>
          <w:r>
            <w:rPr>
              <w:color w:val="auto"/>
              <w:highlight w:val="none"/>
            </w:rPr>
            <w:tab/>
          </w:r>
          <w:r>
            <w:rPr>
              <w:color w:val="auto"/>
              <w:highlight w:val="none"/>
            </w:rPr>
            <w:fldChar w:fldCharType="begin"/>
          </w:r>
          <w:r>
            <w:rPr>
              <w:color w:val="auto"/>
              <w:highlight w:val="none"/>
            </w:rPr>
            <w:instrText xml:space="preserve"> PAGEREF _Toc5806 \h </w:instrText>
          </w:r>
          <w:r>
            <w:rPr>
              <w:color w:val="auto"/>
              <w:highlight w:val="none"/>
            </w:rPr>
            <w:fldChar w:fldCharType="separate"/>
          </w:r>
          <w:r>
            <w:rPr>
              <w:color w:val="auto"/>
              <w:highlight w:val="none"/>
            </w:rPr>
            <w:t>14</w:t>
          </w:r>
          <w:r>
            <w:rPr>
              <w:color w:val="auto"/>
              <w:highlight w:val="none"/>
            </w:rPr>
            <w:fldChar w:fldCharType="end"/>
          </w:r>
          <w:r>
            <w:rPr>
              <w:rFonts w:hint="eastAsia"/>
              <w:color w:val="auto"/>
              <w:highlight w:val="none"/>
            </w:rPr>
            <w:fldChar w:fldCharType="end"/>
          </w:r>
        </w:p>
        <w:p w14:paraId="7AE27D6F">
          <w:pPr>
            <w:pStyle w:val="26"/>
            <w:keepNext w:val="0"/>
            <w:keepLines w:val="0"/>
            <w:pageBreakBefore w:val="0"/>
            <w:widowControl w:val="0"/>
            <w:tabs>
              <w:tab w:val="right" w:leader="dot" w:pos="9514"/>
            </w:tabs>
            <w:kinsoku/>
            <w:wordWrap/>
            <w:overflowPunct/>
            <w:topLinePunct w:val="0"/>
            <w:autoSpaceDE/>
            <w:autoSpaceDN/>
            <w:bidi w:val="0"/>
            <w:adjustRightInd/>
            <w:spacing w:line="360"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_Toc4838 </w:instrText>
          </w:r>
          <w:r>
            <w:rPr>
              <w:rFonts w:hint="eastAsia"/>
              <w:color w:val="auto"/>
              <w:highlight w:val="none"/>
            </w:rPr>
            <w:fldChar w:fldCharType="separate"/>
          </w:r>
          <w:r>
            <w:rPr>
              <w:rFonts w:hint="eastAsia" w:ascii="宋体" w:hAnsi="宋体" w:cs="宋体"/>
              <w:color w:val="auto"/>
              <w:szCs w:val="36"/>
              <w:highlight w:val="none"/>
            </w:rPr>
            <w:t>第四章 项目需求</w:t>
          </w:r>
          <w:r>
            <w:rPr>
              <w:color w:val="auto"/>
              <w:highlight w:val="none"/>
            </w:rPr>
            <w:tab/>
          </w:r>
          <w:r>
            <w:rPr>
              <w:color w:val="auto"/>
              <w:highlight w:val="none"/>
            </w:rPr>
            <w:fldChar w:fldCharType="begin"/>
          </w:r>
          <w:r>
            <w:rPr>
              <w:color w:val="auto"/>
              <w:highlight w:val="none"/>
            </w:rPr>
            <w:instrText xml:space="preserve"> PAGEREF _Toc4838 \h </w:instrText>
          </w:r>
          <w:r>
            <w:rPr>
              <w:color w:val="auto"/>
              <w:highlight w:val="none"/>
            </w:rPr>
            <w:fldChar w:fldCharType="separate"/>
          </w:r>
          <w:r>
            <w:rPr>
              <w:color w:val="auto"/>
              <w:highlight w:val="none"/>
            </w:rPr>
            <w:t>26</w:t>
          </w:r>
          <w:r>
            <w:rPr>
              <w:color w:val="auto"/>
              <w:highlight w:val="none"/>
            </w:rPr>
            <w:fldChar w:fldCharType="end"/>
          </w:r>
          <w:r>
            <w:rPr>
              <w:rFonts w:hint="eastAsia"/>
              <w:color w:val="auto"/>
              <w:highlight w:val="none"/>
            </w:rPr>
            <w:fldChar w:fldCharType="end"/>
          </w:r>
        </w:p>
        <w:p w14:paraId="0B93471F">
          <w:pPr>
            <w:pStyle w:val="26"/>
            <w:keepNext w:val="0"/>
            <w:keepLines w:val="0"/>
            <w:pageBreakBefore w:val="0"/>
            <w:widowControl w:val="0"/>
            <w:tabs>
              <w:tab w:val="right" w:leader="dot" w:pos="9514"/>
            </w:tabs>
            <w:kinsoku/>
            <w:wordWrap/>
            <w:overflowPunct/>
            <w:topLinePunct w:val="0"/>
            <w:autoSpaceDE/>
            <w:autoSpaceDN/>
            <w:bidi w:val="0"/>
            <w:adjustRightInd/>
            <w:spacing w:line="360"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_Toc19189 </w:instrText>
          </w:r>
          <w:r>
            <w:rPr>
              <w:rFonts w:hint="eastAsia"/>
              <w:color w:val="auto"/>
              <w:highlight w:val="none"/>
            </w:rPr>
            <w:fldChar w:fldCharType="separate"/>
          </w:r>
          <w:r>
            <w:rPr>
              <w:rFonts w:hint="eastAsia" w:ascii="宋体" w:hAnsi="宋体"/>
              <w:color w:val="auto"/>
              <w:highlight w:val="none"/>
            </w:rPr>
            <w:t>第五章 评标方法及评标标准</w:t>
          </w:r>
          <w:r>
            <w:rPr>
              <w:color w:val="auto"/>
              <w:highlight w:val="none"/>
            </w:rPr>
            <w:tab/>
          </w:r>
          <w:r>
            <w:rPr>
              <w:color w:val="auto"/>
              <w:highlight w:val="none"/>
            </w:rPr>
            <w:fldChar w:fldCharType="begin"/>
          </w:r>
          <w:r>
            <w:rPr>
              <w:color w:val="auto"/>
              <w:highlight w:val="none"/>
            </w:rPr>
            <w:instrText xml:space="preserve"> PAGEREF _Toc19189 \h </w:instrText>
          </w:r>
          <w:r>
            <w:rPr>
              <w:color w:val="auto"/>
              <w:highlight w:val="none"/>
            </w:rPr>
            <w:fldChar w:fldCharType="separate"/>
          </w:r>
          <w:r>
            <w:rPr>
              <w:color w:val="auto"/>
              <w:highlight w:val="none"/>
            </w:rPr>
            <w:t>28</w:t>
          </w:r>
          <w:r>
            <w:rPr>
              <w:color w:val="auto"/>
              <w:highlight w:val="none"/>
            </w:rPr>
            <w:fldChar w:fldCharType="end"/>
          </w:r>
          <w:r>
            <w:rPr>
              <w:rFonts w:hint="eastAsia"/>
              <w:color w:val="auto"/>
              <w:highlight w:val="none"/>
            </w:rPr>
            <w:fldChar w:fldCharType="end"/>
          </w:r>
        </w:p>
        <w:p w14:paraId="3AA7F407">
          <w:pPr>
            <w:pStyle w:val="26"/>
            <w:keepNext w:val="0"/>
            <w:keepLines w:val="0"/>
            <w:pageBreakBefore w:val="0"/>
            <w:widowControl w:val="0"/>
            <w:tabs>
              <w:tab w:val="right" w:leader="dot" w:pos="9514"/>
            </w:tabs>
            <w:kinsoku/>
            <w:wordWrap/>
            <w:overflowPunct/>
            <w:topLinePunct w:val="0"/>
            <w:autoSpaceDE/>
            <w:autoSpaceDN/>
            <w:bidi w:val="0"/>
            <w:adjustRightInd/>
            <w:spacing w:line="360" w:lineRule="auto"/>
            <w:textAlignment w:val="auto"/>
            <w:rPr>
              <w:color w:val="auto"/>
              <w:highlight w:val="none"/>
            </w:rPr>
          </w:pPr>
          <w:r>
            <w:rPr>
              <w:rFonts w:hint="eastAsia"/>
              <w:color w:val="auto"/>
              <w:highlight w:val="none"/>
            </w:rPr>
            <w:fldChar w:fldCharType="begin"/>
          </w:r>
          <w:r>
            <w:rPr>
              <w:rFonts w:hint="eastAsia"/>
              <w:color w:val="auto"/>
              <w:highlight w:val="none"/>
            </w:rPr>
            <w:instrText xml:space="preserve"> HYPERLINK \l _Toc8468 </w:instrText>
          </w:r>
          <w:r>
            <w:rPr>
              <w:rFonts w:hint="eastAsia"/>
              <w:color w:val="auto"/>
              <w:highlight w:val="none"/>
            </w:rPr>
            <w:fldChar w:fldCharType="separate"/>
          </w:r>
          <w:r>
            <w:rPr>
              <w:rFonts w:hint="eastAsia" w:ascii="宋体"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_Toc8468 \h </w:instrText>
          </w:r>
          <w:r>
            <w:rPr>
              <w:color w:val="auto"/>
              <w:highlight w:val="none"/>
            </w:rPr>
            <w:fldChar w:fldCharType="separate"/>
          </w:r>
          <w:r>
            <w:rPr>
              <w:color w:val="auto"/>
              <w:highlight w:val="none"/>
            </w:rPr>
            <w:t>30</w:t>
          </w:r>
          <w:r>
            <w:rPr>
              <w:color w:val="auto"/>
              <w:highlight w:val="none"/>
            </w:rPr>
            <w:fldChar w:fldCharType="end"/>
          </w:r>
          <w:r>
            <w:rPr>
              <w:rFonts w:hint="eastAsia"/>
              <w:color w:val="auto"/>
              <w:highlight w:val="none"/>
            </w:rPr>
            <w:fldChar w:fldCharType="end"/>
          </w:r>
        </w:p>
        <w:p w14:paraId="03CEABF6">
          <w:pPr>
            <w:pStyle w:val="21"/>
            <w:keepNext w:val="0"/>
            <w:keepLines w:val="0"/>
            <w:pageBreakBefore w:val="0"/>
            <w:widowControl w:val="0"/>
            <w:shd w:val="clear"/>
            <w:kinsoku/>
            <w:wordWrap/>
            <w:overflowPunct/>
            <w:topLinePunct w:val="0"/>
            <w:autoSpaceDE/>
            <w:autoSpaceDN/>
            <w:bidi w:val="0"/>
            <w:adjustRightInd/>
            <w:spacing w:line="360" w:lineRule="auto"/>
            <w:textAlignment w:val="auto"/>
            <w:rPr>
              <w:rFonts w:hint="eastAsia" w:ascii="楷体_GB2312" w:hAnsi="Times New Roman" w:eastAsia="楷体_GB2312" w:cs="Times New Roman"/>
              <w:b/>
              <w:bCs/>
              <w:color w:val="auto"/>
              <w:kern w:val="0"/>
              <w:sz w:val="28"/>
              <w:szCs w:val="24"/>
              <w:highlight w:val="none"/>
              <w:lang w:val="en-US" w:eastAsia="zh-CN" w:bidi="ar-SA"/>
            </w:rPr>
          </w:pPr>
          <w:r>
            <w:rPr>
              <w:rFonts w:hint="eastAsia"/>
              <w:color w:val="auto"/>
              <w:highlight w:val="none"/>
            </w:rPr>
            <w:fldChar w:fldCharType="end"/>
          </w:r>
        </w:p>
      </w:sdtContent>
    </w:sdt>
    <w:p w14:paraId="29447198">
      <w:pPr>
        <w:pStyle w:val="21"/>
        <w:shd w:val="clear"/>
        <w:rPr>
          <w:rFonts w:hint="eastAsia" w:ascii="楷体_GB2312" w:hAnsi="Times New Roman" w:eastAsia="楷体_GB2312" w:cs="Times New Roman"/>
          <w:b/>
          <w:bCs/>
          <w:color w:val="auto"/>
          <w:kern w:val="0"/>
          <w:sz w:val="28"/>
          <w:szCs w:val="24"/>
          <w:highlight w:val="none"/>
          <w:lang w:val="en-US" w:eastAsia="zh-CN" w:bidi="ar-SA"/>
        </w:rPr>
      </w:pPr>
    </w:p>
    <w:p w14:paraId="5F05AADD">
      <w:pPr>
        <w:shd w:val="clear"/>
        <w:rPr>
          <w:rFonts w:hint="eastAsia" w:ascii="宋体" w:hAnsi="宋体" w:cs="宋体"/>
          <w:color w:val="auto"/>
          <w:sz w:val="36"/>
          <w:highlight w:val="none"/>
        </w:rPr>
      </w:pPr>
    </w:p>
    <w:p w14:paraId="1A3E9E6E">
      <w:pPr>
        <w:pStyle w:val="2"/>
        <w:shd w:val="clear"/>
        <w:spacing w:before="0" w:after="0" w:line="360" w:lineRule="auto"/>
        <w:jc w:val="center"/>
        <w:rPr>
          <w:rFonts w:hint="eastAsia" w:ascii="宋体" w:hAnsi="宋体" w:cs="宋体"/>
          <w:color w:val="auto"/>
          <w:sz w:val="36"/>
          <w:highlight w:val="none"/>
        </w:rPr>
        <w:sectPr>
          <w:footerReference r:id="rId5" w:type="default"/>
          <w:pgSz w:w="11906" w:h="16838"/>
          <w:pgMar w:top="1270" w:right="1196" w:bottom="1270" w:left="1196" w:header="851" w:footer="850" w:gutter="0"/>
          <w:pgBorders>
            <w:top w:val="none" w:sz="0" w:space="0"/>
            <w:left w:val="none" w:sz="0" w:space="0"/>
            <w:bottom w:val="none" w:sz="0" w:space="0"/>
            <w:right w:val="none" w:sz="0" w:space="0"/>
          </w:pgBorders>
          <w:pgNumType w:start="1"/>
          <w:cols w:space="0" w:num="1"/>
          <w:docGrid w:type="lines" w:linePitch="312" w:charSpace="0"/>
        </w:sectPr>
      </w:pPr>
    </w:p>
    <w:p w14:paraId="5EDD849F">
      <w:pPr>
        <w:pStyle w:val="2"/>
        <w:shd w:val="clear"/>
        <w:spacing w:before="0" w:after="0" w:line="360" w:lineRule="auto"/>
        <w:jc w:val="center"/>
        <w:rPr>
          <w:rFonts w:ascii="宋体" w:hAnsi="宋体" w:cs="宋体"/>
          <w:color w:val="auto"/>
          <w:sz w:val="36"/>
          <w:highlight w:val="none"/>
        </w:rPr>
      </w:pPr>
      <w:bookmarkStart w:id="1" w:name="_Toc7835"/>
      <w:r>
        <w:rPr>
          <w:rFonts w:hint="eastAsia" w:ascii="宋体" w:hAnsi="宋体" w:cs="宋体"/>
          <w:color w:val="auto"/>
          <w:sz w:val="36"/>
          <w:highlight w:val="none"/>
        </w:rPr>
        <w:t>第一章 招标公告</w:t>
      </w:r>
      <w:bookmarkEnd w:id="1"/>
    </w:p>
    <w:p w14:paraId="2AA866C1">
      <w:pPr>
        <w:shd w:val="clear"/>
        <w:spacing w:line="360" w:lineRule="auto"/>
        <w:ind w:firstLine="420" w:firstLineChars="200"/>
        <w:rPr>
          <w:color w:val="auto"/>
          <w:highlight w:val="none"/>
        </w:rPr>
      </w:pPr>
      <w:r>
        <w:rPr>
          <w:rFonts w:hint="eastAsia" w:ascii="宋体" w:hAnsi="宋体" w:cs="宋体"/>
          <w:color w:val="auto"/>
          <w:szCs w:val="21"/>
          <w:highlight w:val="none"/>
        </w:rPr>
        <w:t>江苏时代投资咨询有限公司</w:t>
      </w:r>
      <w:r>
        <w:rPr>
          <w:rFonts w:hint="eastAsia"/>
          <w:color w:val="auto"/>
          <w:highlight w:val="none"/>
        </w:rPr>
        <w:t>（以下简称“代理机构”）受扬州锦毓置业有限公司（以下简称“采购人”）的委托，就“</w:t>
      </w:r>
      <w:r>
        <w:rPr>
          <w:rFonts w:hint="eastAsia"/>
          <w:color w:val="auto"/>
          <w:highlight w:val="none"/>
          <w:lang w:eastAsia="zh-CN"/>
        </w:rPr>
        <w:t>GZ627地块房地产开发项目营销代理服务</w:t>
      </w:r>
      <w:r>
        <w:rPr>
          <w:rFonts w:hint="eastAsia"/>
          <w:color w:val="auto"/>
          <w:highlight w:val="none"/>
        </w:rPr>
        <w:t>”进行公开招标，现欢迎符合相关条件的投标。</w:t>
      </w:r>
    </w:p>
    <w:p w14:paraId="338C1267">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08BC38B3">
      <w:pPr>
        <w:pBdr>
          <w:top w:val="single" w:color="auto" w:sz="4" w:space="1"/>
          <w:left w:val="single" w:color="auto" w:sz="4" w:space="4"/>
          <w:bottom w:val="single" w:color="auto" w:sz="4" w:space="1"/>
          <w:right w:val="single" w:color="auto" w:sz="4" w:space="4"/>
        </w:pBdr>
        <w:shd w:val="clear"/>
        <w:spacing w:line="360" w:lineRule="auto"/>
        <w:ind w:firstLine="420" w:firstLineChars="200"/>
        <w:rPr>
          <w:rFonts w:ascii="宋体" w:hAnsi="宋体" w:cs="宋体"/>
          <w:color w:val="auto"/>
          <w:szCs w:val="21"/>
          <w:highlight w:val="none"/>
        </w:rPr>
      </w:pPr>
      <w:r>
        <w:rPr>
          <w:rFonts w:hint="eastAsia" w:cs="宋体"/>
          <w:color w:val="auto"/>
          <w:szCs w:val="21"/>
          <w:highlight w:val="none"/>
          <w:u w:val="single"/>
          <w:lang w:eastAsia="zh-CN"/>
        </w:rPr>
        <w:t>GZ627地块房地产开发项目营销代理服务</w:t>
      </w:r>
      <w:r>
        <w:rPr>
          <w:rFonts w:hint="eastAsia" w:ascii="宋体" w:hAnsi="宋体" w:cs="宋体"/>
          <w:color w:val="auto"/>
          <w:szCs w:val="21"/>
          <w:highlight w:val="none"/>
        </w:rPr>
        <w:t>招标项目的潜在投标人应在</w:t>
      </w:r>
      <w:r>
        <w:rPr>
          <w:rFonts w:hint="eastAsia" w:ascii="宋体" w:hAnsi="宋体" w:cs="宋体"/>
          <w:color w:val="auto"/>
          <w:szCs w:val="21"/>
          <w:highlight w:val="none"/>
          <w:u w:val="single"/>
        </w:rPr>
        <w:t>“扬州市公共资源交易平台邗江分中心国企采购栏目”、“扬州维扬发展投资有限公司”</w:t>
      </w:r>
      <w:r>
        <w:rPr>
          <w:rFonts w:hint="eastAsia" w:ascii="宋体" w:hAnsi="宋体"/>
          <w:color w:val="auto"/>
          <w:highlight w:val="none"/>
          <w:u w:val="single"/>
        </w:rPr>
        <w:t>网站</w:t>
      </w:r>
      <w:r>
        <w:rPr>
          <w:rFonts w:hint="eastAsia" w:ascii="宋体" w:hAnsi="宋体" w:cs="宋体"/>
          <w:color w:val="auto"/>
          <w:szCs w:val="21"/>
          <w:highlight w:val="none"/>
        </w:rPr>
        <w:t>获取招标文件，并于</w:t>
      </w:r>
      <w:r>
        <w:rPr>
          <w:rFonts w:hint="eastAsia" w:cs="宋体"/>
          <w:color w:val="auto"/>
          <w:szCs w:val="21"/>
          <w:highlight w:val="none"/>
          <w:u w:val="single"/>
        </w:rPr>
        <w:t>2025年6</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26</w:t>
      </w:r>
      <w:r>
        <w:rPr>
          <w:rFonts w:hint="eastAsia" w:ascii="宋体" w:hAnsi="宋体" w:cs="宋体"/>
          <w:bCs/>
          <w:color w:val="auto"/>
          <w:szCs w:val="21"/>
          <w:highlight w:val="none"/>
          <w:u w:val="single"/>
        </w:rPr>
        <w:t>日</w:t>
      </w:r>
      <w:r>
        <w:rPr>
          <w:rFonts w:hint="eastAsia" w:cs="宋体"/>
          <w:bCs/>
          <w:color w:val="auto"/>
          <w:szCs w:val="21"/>
          <w:highlight w:val="none"/>
          <w:u w:val="single"/>
          <w:lang w:val="en-US" w:eastAsia="zh-CN"/>
        </w:rPr>
        <w:t>9</w:t>
      </w:r>
      <w:r>
        <w:rPr>
          <w:rFonts w:hint="eastAsia" w:ascii="宋体" w:hAnsi="宋体" w:cs="宋体"/>
          <w:bCs/>
          <w:color w:val="auto"/>
          <w:szCs w:val="21"/>
          <w:highlight w:val="none"/>
          <w:u w:val="single"/>
        </w:rPr>
        <w:t>点</w:t>
      </w:r>
      <w:r>
        <w:rPr>
          <w:rFonts w:hint="eastAsia" w:cs="宋体"/>
          <w:bCs/>
          <w:color w:val="auto"/>
          <w:szCs w:val="21"/>
          <w:highlight w:val="none"/>
          <w:u w:val="single"/>
          <w:lang w:val="en-US" w:eastAsia="zh-CN"/>
        </w:rPr>
        <w:t>30</w:t>
      </w:r>
      <w:r>
        <w:rPr>
          <w:rFonts w:hint="eastAsia" w:ascii="宋体" w:hAnsi="宋体" w:cs="宋体"/>
          <w:bCs/>
          <w:color w:val="auto"/>
          <w:szCs w:val="21"/>
          <w:highlight w:val="none"/>
          <w:u w:val="single"/>
        </w:rPr>
        <w:t>分（</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5BC7E3B1">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textAlignment w:val="auto"/>
        <w:rPr>
          <w:rFonts w:ascii="宋体" w:hAnsi="宋体" w:cs="宋体"/>
          <w:b/>
          <w:bCs/>
          <w:color w:val="auto"/>
          <w:szCs w:val="21"/>
          <w:highlight w:val="none"/>
        </w:rPr>
      </w:pPr>
      <w:bookmarkStart w:id="2" w:name="_Toc28359079"/>
      <w:bookmarkStart w:id="3" w:name="_Toc35393621"/>
      <w:bookmarkStart w:id="4" w:name="_Toc35393790"/>
      <w:bookmarkStart w:id="5" w:name="_Toc28359002"/>
      <w:bookmarkStart w:id="6" w:name="_Hlk24379207"/>
      <w:r>
        <w:rPr>
          <w:rFonts w:hint="eastAsia" w:ascii="宋体" w:hAnsi="宋体" w:cs="宋体"/>
          <w:b/>
          <w:bCs/>
          <w:color w:val="auto"/>
          <w:szCs w:val="21"/>
          <w:highlight w:val="none"/>
        </w:rPr>
        <w:t>一、项目基本情况</w:t>
      </w:r>
      <w:bookmarkEnd w:id="2"/>
      <w:bookmarkEnd w:id="3"/>
      <w:bookmarkEnd w:id="4"/>
      <w:bookmarkEnd w:id="5"/>
    </w:p>
    <w:p w14:paraId="6A10DE8D">
      <w:pPr>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JSSDZX-2025124号</w:t>
      </w:r>
    </w:p>
    <w:p w14:paraId="3A5F9863">
      <w:pPr>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bookmarkEnd w:id="6"/>
      <w:r>
        <w:rPr>
          <w:rFonts w:hint="eastAsia" w:cs="宋体"/>
          <w:color w:val="auto"/>
          <w:szCs w:val="21"/>
          <w:highlight w:val="none"/>
          <w:lang w:eastAsia="zh-CN"/>
        </w:rPr>
        <w:t>GZ627地块房地产开发项目营销代理服务</w:t>
      </w:r>
    </w:p>
    <w:p w14:paraId="6AAED458">
      <w:pPr>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396" w:firstLineChars="200"/>
        <w:textAlignment w:val="auto"/>
        <w:rPr>
          <w:rFonts w:hint="eastAsia" w:ascii="宋体" w:hAnsi="宋体" w:cs="宋体"/>
          <w:color w:val="auto"/>
          <w:szCs w:val="21"/>
          <w:highlight w:val="none"/>
          <w:lang w:val="en-US" w:eastAsia="zh-CN"/>
        </w:rPr>
      </w:pPr>
      <w:r>
        <w:rPr>
          <w:rFonts w:hint="eastAsia" w:ascii="宋体" w:hAnsi="宋体"/>
          <w:color w:val="auto"/>
          <w:spacing w:val="-6"/>
          <w:szCs w:val="21"/>
          <w:highlight w:val="none"/>
        </w:rPr>
        <w:t>采购方式：公开招标</w:t>
      </w:r>
    </w:p>
    <w:p w14:paraId="1944386A">
      <w:pPr>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r>
        <w:rPr>
          <w:rFonts w:hint="eastAsia" w:ascii="宋体" w:hAnsi="宋体"/>
          <w:color w:val="auto"/>
          <w:szCs w:val="21"/>
          <w:highlight w:val="none"/>
        </w:rPr>
        <w:t>最高投标限价：</w:t>
      </w:r>
      <w:r>
        <w:rPr>
          <w:rFonts w:hint="eastAsia" w:ascii="宋体" w:hAnsi="宋体" w:cs="宋体"/>
          <w:color w:val="auto"/>
          <w:spacing w:val="2"/>
          <w:szCs w:val="21"/>
          <w:highlight w:val="none"/>
          <w:lang w:val="en-US" w:eastAsia="zh-CN"/>
        </w:rPr>
        <w:t>1182</w:t>
      </w:r>
      <w:r>
        <w:rPr>
          <w:rFonts w:hint="eastAsia" w:ascii="宋体" w:hAnsi="宋体" w:eastAsia="宋体" w:cs="宋体"/>
          <w:color w:val="auto"/>
          <w:spacing w:val="2"/>
          <w:szCs w:val="21"/>
          <w:highlight w:val="none"/>
        </w:rPr>
        <w:t>万元(其中</w:t>
      </w:r>
      <w:r>
        <w:rPr>
          <w:rFonts w:hint="eastAsia" w:ascii="宋体" w:hAnsi="宋体" w:cs="宋体"/>
          <w:color w:val="auto"/>
          <w:spacing w:val="2"/>
          <w:szCs w:val="21"/>
          <w:highlight w:val="none"/>
          <w:lang w:val="en-US" w:eastAsia="zh-CN"/>
        </w:rPr>
        <w:t>基本服务费</w:t>
      </w:r>
      <w:r>
        <w:rPr>
          <w:rFonts w:hint="eastAsia" w:ascii="宋体" w:hAnsi="宋体" w:eastAsia="宋体" w:cs="宋体"/>
          <w:color w:val="auto"/>
          <w:spacing w:val="2"/>
          <w:szCs w:val="21"/>
          <w:highlight w:val="none"/>
        </w:rPr>
        <w:t>不超过</w:t>
      </w:r>
      <w:r>
        <w:rPr>
          <w:rFonts w:hint="eastAsia" w:ascii="宋体" w:hAnsi="宋体" w:cs="宋体"/>
          <w:color w:val="auto"/>
          <w:spacing w:val="2"/>
          <w:szCs w:val="21"/>
          <w:highlight w:val="none"/>
          <w:lang w:val="en-US" w:eastAsia="zh-CN"/>
        </w:rPr>
        <w:t>9.5万元/月</w:t>
      </w:r>
      <w:r>
        <w:rPr>
          <w:rFonts w:hint="eastAsia" w:ascii="宋体" w:hAnsi="宋体" w:eastAsia="宋体" w:cs="宋体"/>
          <w:color w:val="auto"/>
          <w:spacing w:val="2"/>
          <w:szCs w:val="21"/>
          <w:highlight w:val="none"/>
        </w:rPr>
        <w:t>，销售佣金不超过销售回款的</w:t>
      </w:r>
      <w:r>
        <w:rPr>
          <w:rFonts w:hint="eastAsia" w:ascii="宋体" w:hAnsi="宋体" w:cs="宋体"/>
          <w:color w:val="auto"/>
          <w:spacing w:val="2"/>
          <w:szCs w:val="21"/>
          <w:highlight w:val="none"/>
          <w:lang w:val="en-US" w:eastAsia="zh-CN"/>
        </w:rPr>
        <w:t>0.7</w:t>
      </w:r>
      <w:r>
        <w:rPr>
          <w:rFonts w:hint="eastAsia" w:ascii="宋体" w:hAnsi="宋体" w:eastAsia="宋体" w:cs="宋体"/>
          <w:color w:val="auto"/>
          <w:spacing w:val="2"/>
          <w:szCs w:val="21"/>
          <w:highlight w:val="none"/>
        </w:rPr>
        <w:t>%），报价超过最高限价的为无效报价，按照无效投标文件处理。</w:t>
      </w:r>
    </w:p>
    <w:p w14:paraId="577364C7">
      <w:pPr>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Cs w:val="21"/>
          <w:highlight w:val="none"/>
          <w:u w:val="single"/>
          <w:shd w:val="clear" w:color="auto" w:fill="FFC000"/>
          <w:lang w:eastAsia="zh-CN"/>
        </w:rPr>
      </w:pPr>
      <w:r>
        <w:rPr>
          <w:rFonts w:hint="eastAsia" w:ascii="宋体" w:hAnsi="宋体" w:cs="宋体"/>
          <w:color w:val="auto"/>
          <w:szCs w:val="21"/>
          <w:highlight w:val="none"/>
        </w:rPr>
        <w:t>采购需求：见招标文件第四章</w:t>
      </w:r>
      <w:r>
        <w:rPr>
          <w:rFonts w:hint="eastAsia" w:ascii="宋体" w:hAnsi="宋体" w:cs="宋体"/>
          <w:color w:val="auto"/>
          <w:szCs w:val="21"/>
          <w:highlight w:val="none"/>
          <w:lang w:eastAsia="zh-CN"/>
        </w:rPr>
        <w:t>。</w:t>
      </w:r>
    </w:p>
    <w:p w14:paraId="5C44FFDA">
      <w:pPr>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color w:val="auto"/>
          <w:kern w:val="0"/>
          <w:szCs w:val="21"/>
          <w:highlight w:val="none"/>
          <w:lang w:eastAsia="zh-CN"/>
        </w:rPr>
      </w:pP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：自甲方书面通知进场之日起</w:t>
      </w:r>
      <w:r>
        <w:rPr>
          <w:rFonts w:hint="eastAsia" w:ascii="宋体" w:hAnsi="宋体" w:cs="宋体"/>
          <w:color w:val="auto"/>
          <w:szCs w:val="21"/>
          <w:highlight w:val="none"/>
        </w:rPr>
        <w:t>至本项目最后一批住宅集中交付后1个月截止（不超过36个月）。</w:t>
      </w:r>
    </w:p>
    <w:p w14:paraId="2DA2933E">
      <w:pPr>
        <w:keepNext w:val="0"/>
        <w:keepLines w:val="0"/>
        <w:pageBreakBefore w:val="0"/>
        <w:widowControl w:val="0"/>
        <w:numPr>
          <w:ilvl w:val="0"/>
          <w:numId w:val="6"/>
        </w:numPr>
        <w:shd w:val="clear"/>
        <w:kinsoku/>
        <w:wordWrap/>
        <w:overflowPunct/>
        <w:topLinePunct w:val="0"/>
        <w:autoSpaceDE/>
        <w:autoSpaceDN/>
        <w:bidi w:val="0"/>
        <w:adjustRightInd/>
        <w:snapToGrid/>
        <w:spacing w:line="360" w:lineRule="auto"/>
        <w:ind w:left="0" w:leftChars="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i/>
          <w:iCs/>
          <w:color w:val="auto"/>
          <w:szCs w:val="21"/>
          <w:highlight w:val="none"/>
          <w:u w:val="single"/>
        </w:rPr>
        <w:t>不接受</w:t>
      </w:r>
      <w:r>
        <w:rPr>
          <w:rFonts w:hint="eastAsia" w:ascii="宋体" w:hAnsi="宋体" w:cs="宋体"/>
          <w:i/>
          <w:iCs/>
          <w:color w:val="auto"/>
          <w:szCs w:val="21"/>
          <w:highlight w:val="none"/>
          <w:u w:val="single"/>
          <w:lang w:val="en-US" w:eastAsia="zh-CN"/>
        </w:rPr>
        <w:t xml:space="preserve"> </w:t>
      </w:r>
      <w:r>
        <w:rPr>
          <w:rFonts w:hint="eastAsia" w:ascii="宋体" w:hAnsi="宋体" w:cs="宋体"/>
          <w:color w:val="auto"/>
          <w:szCs w:val="21"/>
          <w:highlight w:val="none"/>
        </w:rPr>
        <w:t>联合体投标。</w:t>
      </w:r>
    </w:p>
    <w:p w14:paraId="64B7A05F">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bookmarkStart w:id="7" w:name="_Toc35393791"/>
      <w:bookmarkStart w:id="8" w:name="_Toc28359003"/>
      <w:bookmarkStart w:id="9" w:name="_Toc28359080"/>
      <w:bookmarkStart w:id="10" w:name="_Toc35393622"/>
      <w:r>
        <w:rPr>
          <w:rFonts w:hint="eastAsia" w:ascii="宋体" w:hAnsi="宋体" w:eastAsia="宋体" w:cs="宋体"/>
          <w:b/>
          <w:bCs/>
          <w:color w:val="auto"/>
          <w:szCs w:val="21"/>
          <w:highlight w:val="none"/>
        </w:rPr>
        <w:t>二、申请人的资格要求</w:t>
      </w:r>
      <w:bookmarkEnd w:id="7"/>
      <w:bookmarkEnd w:id="8"/>
      <w:bookmarkEnd w:id="9"/>
      <w:bookmarkEnd w:id="10"/>
    </w:p>
    <w:p w14:paraId="4F729E5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kern w:val="0"/>
          <w:szCs w:val="21"/>
          <w:highlight w:val="none"/>
        </w:rPr>
        <w:t>满足以下规定，并提供下列材料：</w:t>
      </w:r>
    </w:p>
    <w:p w14:paraId="6CAE677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bookmarkStart w:id="11" w:name="_Toc28359004"/>
      <w:bookmarkStart w:id="12" w:name="_Toc28359081"/>
      <w:r>
        <w:rPr>
          <w:rFonts w:hint="eastAsia" w:cs="宋体"/>
          <w:i/>
          <w:iCs/>
          <w:color w:val="auto"/>
          <w:szCs w:val="21"/>
          <w:highlight w:val="none"/>
          <w:u w:val="single"/>
        </w:rPr>
        <w:t>1</w:t>
      </w:r>
      <w:r>
        <w:rPr>
          <w:rFonts w:hint="eastAsia" w:ascii="宋体" w:hAnsi="宋体" w:cs="宋体"/>
          <w:i/>
          <w:iCs/>
          <w:color w:val="auto"/>
          <w:szCs w:val="21"/>
          <w:highlight w:val="none"/>
          <w:u w:val="single"/>
        </w:rPr>
        <w:t>.</w:t>
      </w:r>
      <w:r>
        <w:rPr>
          <w:rFonts w:hint="eastAsia" w:cs="宋体"/>
          <w:i/>
          <w:iCs/>
          <w:color w:val="auto"/>
          <w:szCs w:val="21"/>
          <w:highlight w:val="none"/>
          <w:u w:val="single"/>
        </w:rPr>
        <w:t>1</w:t>
      </w:r>
      <w:r>
        <w:rPr>
          <w:rFonts w:hint="eastAsia" w:ascii="宋体" w:hAnsi="宋体" w:cs="宋体"/>
          <w:i/>
          <w:iCs/>
          <w:color w:val="auto"/>
          <w:szCs w:val="21"/>
          <w:highlight w:val="none"/>
          <w:u w:val="single"/>
        </w:rPr>
        <w:t xml:space="preserve"> 投标函(原件)</w:t>
      </w:r>
      <w:r>
        <w:rPr>
          <w:rFonts w:hint="eastAsia" w:ascii="宋体" w:hAnsi="宋体" w:cs="宋体"/>
          <w:i/>
          <w:iCs/>
          <w:color w:val="auto"/>
          <w:szCs w:val="21"/>
          <w:highlight w:val="none"/>
          <w:u w:val="single"/>
          <w:lang w:eastAsia="zh-CN"/>
        </w:rPr>
        <w:t>；</w:t>
      </w:r>
    </w:p>
    <w:p w14:paraId="279707B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cs="宋体"/>
          <w:i/>
          <w:iCs/>
          <w:color w:val="auto"/>
          <w:szCs w:val="21"/>
          <w:highlight w:val="none"/>
          <w:u w:val="single"/>
        </w:rPr>
        <w:t>1</w:t>
      </w:r>
      <w:r>
        <w:rPr>
          <w:rFonts w:hint="eastAsia" w:ascii="宋体" w:hAnsi="宋体" w:cs="宋体"/>
          <w:i/>
          <w:iCs/>
          <w:color w:val="auto"/>
          <w:szCs w:val="21"/>
          <w:highlight w:val="none"/>
          <w:u w:val="single"/>
        </w:rPr>
        <w:t>.</w:t>
      </w:r>
      <w:r>
        <w:rPr>
          <w:rFonts w:hint="eastAsia" w:cs="宋体"/>
          <w:i/>
          <w:iCs/>
          <w:color w:val="auto"/>
          <w:szCs w:val="21"/>
          <w:highlight w:val="none"/>
          <w:u w:val="single"/>
        </w:rPr>
        <w:t>2</w:t>
      </w:r>
      <w:r>
        <w:rPr>
          <w:rFonts w:hint="eastAsia" w:ascii="宋体" w:hAnsi="宋体" w:cs="宋体"/>
          <w:i/>
          <w:iCs/>
          <w:color w:val="auto"/>
          <w:szCs w:val="21"/>
          <w:highlight w:val="none"/>
          <w:u w:val="single"/>
        </w:rPr>
        <w:t xml:space="preserve"> 资格声明(原件)</w:t>
      </w:r>
      <w:r>
        <w:rPr>
          <w:rFonts w:hint="eastAsia" w:ascii="宋体" w:hAnsi="宋体" w:cs="宋体"/>
          <w:i/>
          <w:iCs/>
          <w:color w:val="auto"/>
          <w:szCs w:val="21"/>
          <w:highlight w:val="none"/>
          <w:u w:val="single"/>
          <w:lang w:eastAsia="zh-CN"/>
        </w:rPr>
        <w:t>；</w:t>
      </w:r>
    </w:p>
    <w:p w14:paraId="4DA29A5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cs="宋体"/>
          <w:i/>
          <w:iCs/>
          <w:color w:val="auto"/>
          <w:szCs w:val="21"/>
          <w:highlight w:val="none"/>
          <w:u w:val="single"/>
        </w:rPr>
        <w:t>1</w:t>
      </w:r>
      <w:r>
        <w:rPr>
          <w:rFonts w:hint="eastAsia" w:ascii="宋体" w:hAnsi="宋体" w:cs="宋体"/>
          <w:i/>
          <w:iCs/>
          <w:color w:val="auto"/>
          <w:szCs w:val="21"/>
          <w:highlight w:val="none"/>
          <w:u w:val="single"/>
        </w:rPr>
        <w:t>.</w:t>
      </w:r>
      <w:r>
        <w:rPr>
          <w:rFonts w:hint="eastAsia" w:cs="宋体"/>
          <w:i/>
          <w:iCs/>
          <w:color w:val="auto"/>
          <w:szCs w:val="21"/>
          <w:highlight w:val="none"/>
          <w:u w:val="single"/>
        </w:rPr>
        <w:t>3</w:t>
      </w:r>
      <w:r>
        <w:rPr>
          <w:rFonts w:hint="eastAsia" w:ascii="宋体" w:hAnsi="宋体" w:eastAsia="宋体" w:cs="宋体"/>
          <w:i/>
          <w:iCs/>
          <w:color w:val="auto"/>
          <w:szCs w:val="21"/>
          <w:highlight w:val="none"/>
          <w:u w:val="single"/>
        </w:rPr>
        <w:t>若法定代表人参加投标的，须提供本人身份证复印件加盖供应商公章(原件备查)；若授权代表参加的，须提供《法人授权书》原件和授权代表身份证复印件加盖供应商公章（原件备查）</w:t>
      </w:r>
      <w:r>
        <w:rPr>
          <w:rFonts w:hint="eastAsia" w:ascii="宋体" w:hAnsi="宋体" w:eastAsia="宋体" w:cs="宋体"/>
          <w:i/>
          <w:iCs/>
          <w:color w:val="auto"/>
          <w:szCs w:val="21"/>
          <w:highlight w:val="none"/>
          <w:u w:val="single"/>
          <w:lang w:eastAsia="zh-CN"/>
        </w:rPr>
        <w:t>；</w:t>
      </w:r>
    </w:p>
    <w:p w14:paraId="7528E636">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cs="宋体"/>
          <w:i/>
          <w:iCs/>
          <w:color w:val="auto"/>
          <w:szCs w:val="21"/>
          <w:highlight w:val="none"/>
          <w:u w:val="single"/>
        </w:rPr>
        <w:t>1</w:t>
      </w:r>
      <w:r>
        <w:rPr>
          <w:rFonts w:hint="eastAsia" w:ascii="宋体" w:hAnsi="宋体" w:cs="宋体"/>
          <w:i/>
          <w:iCs/>
          <w:color w:val="auto"/>
          <w:szCs w:val="21"/>
          <w:highlight w:val="none"/>
          <w:u w:val="single"/>
        </w:rPr>
        <w:t>.</w:t>
      </w:r>
      <w:r>
        <w:rPr>
          <w:rFonts w:hint="eastAsia" w:cs="宋体"/>
          <w:i/>
          <w:iCs/>
          <w:color w:val="auto"/>
          <w:szCs w:val="21"/>
          <w:highlight w:val="none"/>
          <w:u w:val="single"/>
        </w:rPr>
        <w:t>4</w:t>
      </w:r>
      <w:r>
        <w:rPr>
          <w:rFonts w:hint="eastAsia" w:ascii="宋体" w:hAnsi="宋体" w:cs="宋体"/>
          <w:i/>
          <w:iCs/>
          <w:color w:val="auto"/>
          <w:szCs w:val="21"/>
          <w:highlight w:val="none"/>
          <w:u w:val="single"/>
        </w:rPr>
        <w:t xml:space="preserve"> 营业执照副本(复印件加盖投标人公章)</w:t>
      </w:r>
      <w:r>
        <w:rPr>
          <w:rFonts w:hint="eastAsia" w:ascii="宋体" w:hAnsi="宋体" w:cs="宋体"/>
          <w:i/>
          <w:iCs/>
          <w:color w:val="auto"/>
          <w:szCs w:val="21"/>
          <w:highlight w:val="none"/>
          <w:u w:val="single"/>
          <w:lang w:eastAsia="zh-CN"/>
        </w:rPr>
        <w:t>；</w:t>
      </w:r>
    </w:p>
    <w:p w14:paraId="781F3F6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cs="宋体"/>
          <w:i/>
          <w:iCs/>
          <w:color w:val="auto"/>
          <w:szCs w:val="21"/>
          <w:highlight w:val="none"/>
          <w:u w:val="single"/>
        </w:rPr>
        <w:t>1</w:t>
      </w:r>
      <w:r>
        <w:rPr>
          <w:rFonts w:hint="eastAsia" w:ascii="宋体" w:hAnsi="宋体" w:cs="宋体"/>
          <w:i/>
          <w:iCs/>
          <w:color w:val="auto"/>
          <w:szCs w:val="21"/>
          <w:highlight w:val="none"/>
          <w:u w:val="single"/>
        </w:rPr>
        <w:t>.</w:t>
      </w:r>
      <w:r>
        <w:rPr>
          <w:rFonts w:hint="eastAsia" w:cs="宋体"/>
          <w:i/>
          <w:iCs/>
          <w:color w:val="auto"/>
          <w:szCs w:val="21"/>
          <w:highlight w:val="none"/>
          <w:u w:val="single"/>
        </w:rPr>
        <w:t>5</w:t>
      </w:r>
      <w:r>
        <w:rPr>
          <w:rFonts w:hint="eastAsia" w:ascii="宋体" w:hAnsi="宋体" w:cs="宋体"/>
          <w:i/>
          <w:iCs/>
          <w:color w:val="auto"/>
          <w:szCs w:val="21"/>
          <w:highlight w:val="none"/>
          <w:u w:val="single"/>
        </w:rPr>
        <w:t>依法缴纳职工社会保障资金的证明材料(复印件加盖投标人公章)(税务、银行或社会保险基金管理部门出具的近三个月内任意一月（2025年3月-2025年5月）缴纳职工社会保障资金的缴款凭证或缴款证明)</w:t>
      </w:r>
      <w:r>
        <w:rPr>
          <w:rFonts w:hint="eastAsia" w:ascii="宋体" w:hAnsi="宋体" w:cs="宋体"/>
          <w:i/>
          <w:iCs/>
          <w:color w:val="auto"/>
          <w:szCs w:val="21"/>
          <w:highlight w:val="none"/>
          <w:u w:val="single"/>
          <w:lang w:eastAsia="zh-CN"/>
        </w:rPr>
        <w:t>；</w:t>
      </w:r>
    </w:p>
    <w:p w14:paraId="4E14501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cs="宋体"/>
          <w:i/>
          <w:iCs/>
          <w:color w:val="auto"/>
          <w:szCs w:val="21"/>
          <w:highlight w:val="none"/>
          <w:u w:val="single"/>
        </w:rPr>
        <w:t>1</w:t>
      </w:r>
      <w:r>
        <w:rPr>
          <w:rFonts w:hint="eastAsia" w:ascii="宋体" w:hAnsi="宋体" w:cs="宋体"/>
          <w:i/>
          <w:iCs/>
          <w:color w:val="auto"/>
          <w:szCs w:val="21"/>
          <w:highlight w:val="none"/>
          <w:u w:val="single"/>
        </w:rPr>
        <w:t>.</w:t>
      </w:r>
      <w:r>
        <w:rPr>
          <w:rFonts w:hint="eastAsia" w:cs="宋体"/>
          <w:i/>
          <w:iCs/>
          <w:color w:val="auto"/>
          <w:szCs w:val="21"/>
          <w:highlight w:val="none"/>
          <w:u w:val="single"/>
        </w:rPr>
        <w:t>6</w:t>
      </w:r>
      <w:r>
        <w:rPr>
          <w:rFonts w:hint="eastAsia" w:ascii="宋体" w:hAnsi="宋体" w:cs="宋体"/>
          <w:i/>
          <w:iCs/>
          <w:color w:val="auto"/>
          <w:szCs w:val="21"/>
          <w:highlight w:val="none"/>
          <w:u w:val="single"/>
        </w:rPr>
        <w:t>供应商近三个月内任意一个月（2025年3月-2025年5月）依法纳税的缴款凭证(复印件加盖投标人公章)</w:t>
      </w:r>
      <w:r>
        <w:rPr>
          <w:rFonts w:hint="eastAsia" w:ascii="宋体" w:hAnsi="宋体" w:cs="宋体"/>
          <w:i/>
          <w:iCs/>
          <w:color w:val="auto"/>
          <w:szCs w:val="21"/>
          <w:highlight w:val="none"/>
          <w:u w:val="single"/>
          <w:lang w:eastAsia="zh-CN"/>
        </w:rPr>
        <w:t>；</w:t>
      </w:r>
    </w:p>
    <w:p w14:paraId="11334CF5">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cs="宋体"/>
          <w:i/>
          <w:iCs/>
          <w:color w:val="auto"/>
          <w:szCs w:val="21"/>
          <w:highlight w:val="none"/>
          <w:u w:val="single"/>
        </w:rPr>
        <w:t>1</w:t>
      </w:r>
      <w:r>
        <w:rPr>
          <w:rFonts w:hint="eastAsia" w:ascii="宋体" w:hAnsi="宋体" w:cs="宋体"/>
          <w:i/>
          <w:iCs/>
          <w:color w:val="auto"/>
          <w:szCs w:val="21"/>
          <w:highlight w:val="none"/>
          <w:u w:val="single"/>
        </w:rPr>
        <w:t>.</w:t>
      </w:r>
      <w:r>
        <w:rPr>
          <w:rFonts w:hint="eastAsia" w:cs="宋体"/>
          <w:i/>
          <w:iCs/>
          <w:color w:val="auto"/>
          <w:szCs w:val="21"/>
          <w:highlight w:val="none"/>
          <w:u w:val="single"/>
        </w:rPr>
        <w:t>7</w:t>
      </w:r>
      <w:r>
        <w:rPr>
          <w:rFonts w:hint="eastAsia" w:ascii="宋体" w:hAnsi="宋体" w:cs="宋体"/>
          <w:i/>
          <w:iCs/>
          <w:color w:val="auto"/>
          <w:szCs w:val="21"/>
          <w:highlight w:val="none"/>
          <w:u w:val="single"/>
          <w:lang w:eastAsia="zh-CN"/>
        </w:rPr>
        <w:t>上一年度(2023年或2024年)的财务状况报告(成立不满一年无需提供)(复印件加盖供应商公章)；</w:t>
      </w:r>
    </w:p>
    <w:p w14:paraId="4B08391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cs="宋体"/>
          <w:i/>
          <w:iCs/>
          <w:color w:val="auto"/>
          <w:szCs w:val="21"/>
          <w:highlight w:val="none"/>
          <w:u w:val="single"/>
        </w:rPr>
        <w:t>1</w:t>
      </w:r>
      <w:r>
        <w:rPr>
          <w:rFonts w:hint="eastAsia" w:ascii="宋体" w:hAnsi="宋体" w:cs="宋体"/>
          <w:i/>
          <w:iCs/>
          <w:color w:val="auto"/>
          <w:szCs w:val="21"/>
          <w:highlight w:val="none"/>
          <w:u w:val="single"/>
        </w:rPr>
        <w:t>.</w:t>
      </w:r>
      <w:r>
        <w:rPr>
          <w:rFonts w:hint="eastAsia" w:cs="宋体"/>
          <w:i/>
          <w:iCs/>
          <w:color w:val="auto"/>
          <w:szCs w:val="21"/>
          <w:highlight w:val="none"/>
          <w:u w:val="single"/>
        </w:rPr>
        <w:t>8</w:t>
      </w:r>
      <w:r>
        <w:rPr>
          <w:rFonts w:hint="eastAsia" w:ascii="宋体" w:hAnsi="宋体" w:cs="宋体"/>
          <w:i/>
          <w:iCs/>
          <w:color w:val="auto"/>
          <w:szCs w:val="21"/>
          <w:highlight w:val="none"/>
          <w:u w:val="single"/>
        </w:rPr>
        <w:t xml:space="preserve"> 供应商参加本次政府采购活动前</w:t>
      </w:r>
      <w:r>
        <w:rPr>
          <w:rFonts w:hint="eastAsia" w:cs="宋体"/>
          <w:i/>
          <w:iCs/>
          <w:color w:val="auto"/>
          <w:szCs w:val="21"/>
          <w:highlight w:val="none"/>
          <w:u w:val="single"/>
        </w:rPr>
        <w:t>3</w:t>
      </w:r>
      <w:r>
        <w:rPr>
          <w:rFonts w:hint="eastAsia" w:ascii="宋体" w:hAnsi="宋体" w:cs="宋体"/>
          <w:i/>
          <w:iCs/>
          <w:color w:val="auto"/>
          <w:szCs w:val="21"/>
          <w:highlight w:val="none"/>
          <w:u w:val="single"/>
        </w:rPr>
        <w:t>年内在经营活动中没有重大违法记录的书面声明（原件）</w:t>
      </w:r>
      <w:r>
        <w:rPr>
          <w:rFonts w:hint="eastAsia" w:ascii="宋体" w:hAnsi="宋体" w:cs="宋体"/>
          <w:i/>
          <w:iCs/>
          <w:color w:val="auto"/>
          <w:szCs w:val="21"/>
          <w:highlight w:val="none"/>
          <w:u w:val="single"/>
          <w:lang w:eastAsia="zh-CN"/>
        </w:rPr>
        <w:t>；</w:t>
      </w:r>
    </w:p>
    <w:p w14:paraId="664AF03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cs="宋体"/>
          <w:i/>
          <w:iCs/>
          <w:color w:val="auto"/>
          <w:szCs w:val="21"/>
          <w:highlight w:val="none"/>
          <w:u w:val="single"/>
        </w:rPr>
        <w:t>1</w:t>
      </w:r>
      <w:r>
        <w:rPr>
          <w:rFonts w:hint="eastAsia" w:ascii="宋体" w:hAnsi="宋体" w:cs="宋体"/>
          <w:i/>
          <w:iCs/>
          <w:color w:val="auto"/>
          <w:szCs w:val="21"/>
          <w:highlight w:val="none"/>
          <w:u w:val="single"/>
        </w:rPr>
        <w:t>.</w:t>
      </w:r>
      <w:r>
        <w:rPr>
          <w:rFonts w:hint="eastAsia" w:cs="宋体"/>
          <w:i/>
          <w:iCs/>
          <w:color w:val="auto"/>
          <w:szCs w:val="21"/>
          <w:highlight w:val="none"/>
          <w:u w:val="single"/>
        </w:rPr>
        <w:t>9</w:t>
      </w:r>
      <w:r>
        <w:rPr>
          <w:rFonts w:hint="eastAsia" w:ascii="宋体" w:hAnsi="宋体" w:cs="宋体"/>
          <w:i/>
          <w:iCs/>
          <w:color w:val="auto"/>
          <w:szCs w:val="21"/>
          <w:highlight w:val="none"/>
          <w:u w:val="single"/>
        </w:rPr>
        <w:t>供应商信用承诺书（原件）</w:t>
      </w:r>
      <w:r>
        <w:rPr>
          <w:rFonts w:hint="eastAsia" w:ascii="宋体" w:hAnsi="宋体" w:cs="宋体"/>
          <w:i/>
          <w:iCs/>
          <w:color w:val="auto"/>
          <w:szCs w:val="21"/>
          <w:highlight w:val="none"/>
          <w:u w:val="single"/>
          <w:lang w:eastAsia="zh-CN"/>
        </w:rPr>
        <w:t>；</w:t>
      </w:r>
    </w:p>
    <w:p w14:paraId="2224940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cs="宋体"/>
          <w:i/>
          <w:iCs/>
          <w:color w:val="auto"/>
          <w:szCs w:val="21"/>
          <w:highlight w:val="none"/>
          <w:u w:val="single"/>
        </w:rPr>
        <w:t>1</w:t>
      </w:r>
      <w:r>
        <w:rPr>
          <w:rFonts w:hint="eastAsia" w:ascii="宋体" w:hAnsi="宋体" w:cs="宋体"/>
          <w:i/>
          <w:iCs/>
          <w:color w:val="auto"/>
          <w:szCs w:val="21"/>
          <w:highlight w:val="none"/>
          <w:u w:val="single"/>
        </w:rPr>
        <w:t>.</w:t>
      </w:r>
      <w:r>
        <w:rPr>
          <w:rFonts w:hint="eastAsia" w:cs="宋体"/>
          <w:i/>
          <w:iCs/>
          <w:color w:val="auto"/>
          <w:szCs w:val="21"/>
          <w:highlight w:val="none"/>
          <w:u w:val="single"/>
        </w:rPr>
        <w:t>10</w:t>
      </w:r>
      <w:r>
        <w:rPr>
          <w:rFonts w:hint="eastAsia" w:ascii="宋体" w:hAnsi="宋体" w:cs="宋体"/>
          <w:i/>
          <w:iCs/>
          <w:color w:val="auto"/>
          <w:szCs w:val="21"/>
          <w:highlight w:val="none"/>
          <w:u w:val="single"/>
        </w:rPr>
        <w:t>供应商未被“信用中国”网站（</w:t>
      </w:r>
      <w:r>
        <w:rPr>
          <w:rFonts w:hint="eastAsia" w:cs="宋体"/>
          <w:i/>
          <w:iCs/>
          <w:color w:val="auto"/>
          <w:szCs w:val="21"/>
          <w:highlight w:val="none"/>
          <w:u w:val="single"/>
        </w:rPr>
        <w:t>www</w:t>
      </w:r>
      <w:r>
        <w:rPr>
          <w:rFonts w:hint="eastAsia" w:ascii="宋体" w:hAnsi="宋体" w:cs="宋体"/>
          <w:i/>
          <w:iCs/>
          <w:color w:val="auto"/>
          <w:szCs w:val="21"/>
          <w:highlight w:val="none"/>
          <w:u w:val="single"/>
        </w:rPr>
        <w:t>.</w:t>
      </w:r>
      <w:r>
        <w:rPr>
          <w:rFonts w:hint="eastAsia" w:cs="宋体"/>
          <w:i/>
          <w:iCs/>
          <w:color w:val="auto"/>
          <w:szCs w:val="21"/>
          <w:highlight w:val="none"/>
          <w:u w:val="single"/>
        </w:rPr>
        <w:t>creditchina</w:t>
      </w:r>
      <w:r>
        <w:rPr>
          <w:rFonts w:hint="eastAsia" w:ascii="宋体" w:hAnsi="宋体" w:cs="宋体"/>
          <w:i/>
          <w:iCs/>
          <w:color w:val="auto"/>
          <w:szCs w:val="21"/>
          <w:highlight w:val="none"/>
          <w:u w:val="single"/>
        </w:rPr>
        <w:t>.</w:t>
      </w:r>
      <w:r>
        <w:rPr>
          <w:rFonts w:hint="eastAsia" w:cs="宋体"/>
          <w:i/>
          <w:iCs/>
          <w:color w:val="auto"/>
          <w:szCs w:val="21"/>
          <w:highlight w:val="none"/>
          <w:u w:val="single"/>
        </w:rPr>
        <w:t>gov</w:t>
      </w:r>
      <w:r>
        <w:rPr>
          <w:rFonts w:hint="eastAsia" w:ascii="宋体" w:hAnsi="宋体" w:cs="宋体"/>
          <w:i/>
          <w:iCs/>
          <w:color w:val="auto"/>
          <w:szCs w:val="21"/>
          <w:highlight w:val="none"/>
          <w:u w:val="single"/>
        </w:rPr>
        <w:t>.</w:t>
      </w:r>
      <w:r>
        <w:rPr>
          <w:rFonts w:hint="eastAsia" w:cs="宋体"/>
          <w:i/>
          <w:iCs/>
          <w:color w:val="auto"/>
          <w:szCs w:val="21"/>
          <w:highlight w:val="none"/>
          <w:u w:val="single"/>
        </w:rPr>
        <w:t>cn</w:t>
      </w:r>
      <w:r>
        <w:rPr>
          <w:rFonts w:hint="eastAsia" w:ascii="宋体" w:hAnsi="宋体" w:cs="宋体"/>
          <w:i/>
          <w:iCs/>
          <w:color w:val="auto"/>
          <w:szCs w:val="21"/>
          <w:highlight w:val="none"/>
          <w:u w:val="single"/>
        </w:rPr>
        <w:t>）、“中国政府采购网” (</w:t>
      </w:r>
      <w:r>
        <w:rPr>
          <w:rFonts w:hint="eastAsia" w:cs="宋体"/>
          <w:i/>
          <w:iCs/>
          <w:color w:val="auto"/>
          <w:szCs w:val="21"/>
          <w:highlight w:val="none"/>
          <w:u w:val="single"/>
        </w:rPr>
        <w:t>www</w:t>
      </w:r>
      <w:r>
        <w:rPr>
          <w:rFonts w:hint="eastAsia" w:ascii="宋体" w:hAnsi="宋体" w:cs="宋体"/>
          <w:i/>
          <w:iCs/>
          <w:color w:val="auto"/>
          <w:szCs w:val="21"/>
          <w:highlight w:val="none"/>
          <w:u w:val="single"/>
        </w:rPr>
        <w:t>.</w:t>
      </w:r>
      <w:r>
        <w:rPr>
          <w:rFonts w:hint="eastAsia" w:cs="宋体"/>
          <w:i/>
          <w:iCs/>
          <w:color w:val="auto"/>
          <w:szCs w:val="21"/>
          <w:highlight w:val="none"/>
          <w:u w:val="single"/>
        </w:rPr>
        <w:t>ccgp</w:t>
      </w:r>
      <w:r>
        <w:rPr>
          <w:rFonts w:hint="eastAsia" w:ascii="宋体" w:hAnsi="宋体" w:cs="宋体"/>
          <w:i/>
          <w:iCs/>
          <w:color w:val="auto"/>
          <w:szCs w:val="21"/>
          <w:highlight w:val="none"/>
          <w:u w:val="single"/>
        </w:rPr>
        <w:t>.</w:t>
      </w:r>
      <w:r>
        <w:rPr>
          <w:rFonts w:hint="eastAsia" w:cs="宋体"/>
          <w:i/>
          <w:iCs/>
          <w:color w:val="auto"/>
          <w:szCs w:val="21"/>
          <w:highlight w:val="none"/>
          <w:u w:val="single"/>
        </w:rPr>
        <w:t>gov</w:t>
      </w:r>
      <w:r>
        <w:rPr>
          <w:rFonts w:hint="eastAsia" w:ascii="宋体" w:hAnsi="宋体" w:cs="宋体"/>
          <w:i/>
          <w:iCs/>
          <w:color w:val="auto"/>
          <w:szCs w:val="21"/>
          <w:highlight w:val="none"/>
          <w:u w:val="single"/>
        </w:rPr>
        <w:t>.</w:t>
      </w:r>
      <w:r>
        <w:rPr>
          <w:rFonts w:hint="eastAsia" w:cs="宋体"/>
          <w:i/>
          <w:iCs/>
          <w:color w:val="auto"/>
          <w:szCs w:val="21"/>
          <w:highlight w:val="none"/>
          <w:u w:val="single"/>
        </w:rPr>
        <w:t>cn</w:t>
      </w:r>
      <w:r>
        <w:rPr>
          <w:rFonts w:hint="eastAsia" w:ascii="宋体" w:hAnsi="宋体" w:cs="宋体"/>
          <w:i/>
          <w:iCs/>
          <w:color w:val="auto"/>
          <w:szCs w:val="21"/>
          <w:highlight w:val="none"/>
          <w:u w:val="single"/>
        </w:rPr>
        <w:t>)列入失信被执行人、重大税收违法案件当事人名单、</w:t>
      </w:r>
      <w:r>
        <w:rPr>
          <w:rFonts w:hint="eastAsia" w:ascii="宋体" w:hAnsi="宋体" w:cs="宋体"/>
          <w:i/>
          <w:iCs/>
          <w:color w:val="auto"/>
          <w:szCs w:val="21"/>
          <w:highlight w:val="none"/>
          <w:u w:val="single"/>
          <w:lang w:eastAsia="zh-CN"/>
        </w:rPr>
        <w:t>政府采购严重违法失信行为。（提供网页查询截图并加盖供应商公章，查询时间为自公告发布至开标截止时间前任意时间）</w:t>
      </w:r>
    </w:p>
    <w:p w14:paraId="7B739AA2">
      <w:pPr>
        <w:pStyle w:val="47"/>
        <w:keepNext w:val="0"/>
        <w:keepLines w:val="0"/>
        <w:pageBreakBefore w:val="0"/>
        <w:widowControl w:val="0"/>
        <w:shd w:val="clear"/>
        <w:kinsoku/>
        <w:wordWrap/>
        <w:overflowPunct/>
        <w:topLinePunct w:val="0"/>
        <w:autoSpaceDE/>
        <w:autoSpaceDN/>
        <w:bidi w:val="0"/>
        <w:adjustRightInd/>
        <w:snapToGrid/>
        <w:spacing w:before="0" w:after="0" w:line="360" w:lineRule="auto"/>
        <w:ind w:firstLine="420"/>
        <w:textAlignment w:val="auto"/>
        <w:rPr>
          <w:color w:val="auto"/>
          <w:highlight w:val="none"/>
        </w:rPr>
      </w:pPr>
      <w:r>
        <w:rPr>
          <w:rFonts w:hint="eastAsia"/>
          <w:color w:val="auto"/>
          <w:highlight w:val="none"/>
        </w:rPr>
        <w:t>注一：如参加本项目的供应商为新成立公司（成立时间距开标时间不到1年）、个体工商户、自然人或事业单位等非企业法人，请提供相应情况说明，本文件中所需法定代表人相关材料、盖章及签字等可用供应商相关负责人的相应材料代替。</w:t>
      </w:r>
    </w:p>
    <w:p w14:paraId="284FBFD7">
      <w:pPr>
        <w:pStyle w:val="47"/>
        <w:keepNext w:val="0"/>
        <w:keepLines w:val="0"/>
        <w:pageBreakBefore w:val="0"/>
        <w:widowControl w:val="0"/>
        <w:shd w:val="clear"/>
        <w:kinsoku/>
        <w:wordWrap/>
        <w:overflowPunct/>
        <w:topLinePunct w:val="0"/>
        <w:autoSpaceDE/>
        <w:autoSpaceDN/>
        <w:bidi w:val="0"/>
        <w:adjustRightInd/>
        <w:snapToGrid/>
        <w:spacing w:before="0" w:after="0" w:line="360" w:lineRule="auto"/>
        <w:ind w:firstLine="420"/>
        <w:textAlignment w:val="auto"/>
        <w:rPr>
          <w:color w:val="auto"/>
          <w:highlight w:val="none"/>
        </w:rPr>
      </w:pPr>
      <w:r>
        <w:rPr>
          <w:rFonts w:hint="eastAsia"/>
          <w:color w:val="auto"/>
          <w:highlight w:val="none"/>
        </w:rPr>
        <w:t>注二：供应商如有相关政策支持，延期缴纳或暂不缴纳职工社会保障资金、税收的，须提供相关证明材料。</w:t>
      </w:r>
    </w:p>
    <w:p w14:paraId="45C3553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eastAsia="zh-CN"/>
        </w:rPr>
      </w:pPr>
      <w:r>
        <w:rPr>
          <w:rFonts w:hint="eastAsia" w:cs="宋体"/>
          <w:color w:val="auto"/>
          <w:szCs w:val="21"/>
          <w:highlight w:val="none"/>
        </w:rPr>
        <w:t>2</w:t>
      </w:r>
      <w:r>
        <w:rPr>
          <w:rFonts w:hint="eastAsia" w:ascii="宋体" w:hAnsi="宋体" w:cs="宋体"/>
          <w:color w:val="auto"/>
          <w:szCs w:val="21"/>
          <w:highlight w:val="none"/>
        </w:rPr>
        <w:t>.落实政府采购政策需满足的资格要求：/</w:t>
      </w:r>
      <w:r>
        <w:rPr>
          <w:rFonts w:hint="eastAsia" w:ascii="宋体" w:hAnsi="宋体" w:cs="宋体"/>
          <w:color w:val="auto"/>
          <w:szCs w:val="21"/>
          <w:highlight w:val="none"/>
          <w:lang w:eastAsia="zh-CN"/>
        </w:rPr>
        <w:t>。</w:t>
      </w:r>
    </w:p>
    <w:p w14:paraId="1B98864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iCs/>
          <w:color w:val="auto"/>
          <w:szCs w:val="21"/>
          <w:highlight w:val="none"/>
          <w:u w:val="single"/>
          <w:lang w:val="en-US" w:eastAsia="zh-CN"/>
        </w:rPr>
      </w:pPr>
      <w:r>
        <w:rPr>
          <w:rFonts w:hint="eastAsia" w:cs="宋体"/>
          <w:color w:val="auto"/>
          <w:szCs w:val="21"/>
          <w:highlight w:val="none"/>
        </w:rPr>
        <w:t>3</w:t>
      </w:r>
      <w:r>
        <w:rPr>
          <w:rFonts w:hint="eastAsia" w:ascii="宋体" w:hAnsi="宋体" w:cs="宋体"/>
          <w:color w:val="auto"/>
          <w:szCs w:val="21"/>
          <w:highlight w:val="none"/>
        </w:rPr>
        <w:t>.</w:t>
      </w:r>
      <w:r>
        <w:rPr>
          <w:rFonts w:hint="eastAsia" w:ascii="宋体" w:hAnsi="宋体" w:cs="宋体"/>
          <w:color w:val="auto"/>
          <w:szCs w:val="21"/>
          <w:highlight w:val="none"/>
          <w:lang w:eastAsia="zh-CN"/>
        </w:rPr>
        <w:t>本项目的特定资格要求：</w:t>
      </w:r>
      <w:r>
        <w:rPr>
          <w:rFonts w:hint="eastAsia" w:ascii="宋体" w:hAnsi="宋体" w:cs="宋体"/>
          <w:i/>
          <w:iCs/>
          <w:color w:val="auto"/>
          <w:szCs w:val="21"/>
          <w:highlight w:val="none"/>
          <w:u w:val="single"/>
          <w:lang w:eastAsia="zh-CN"/>
        </w:rPr>
        <w:t>供应商为授权委托人缴纳的2025年3月-2025年5月任意一个月的社保证明(复印件加盖投标人公章)。</w:t>
      </w:r>
    </w:p>
    <w:p w14:paraId="21F3C98F">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bookmarkStart w:id="13" w:name="_Toc35393792"/>
      <w:bookmarkStart w:id="14" w:name="_Toc35393623"/>
      <w:r>
        <w:rPr>
          <w:rFonts w:hint="eastAsia" w:ascii="宋体" w:hAnsi="宋体" w:eastAsia="宋体" w:cs="宋体"/>
          <w:b/>
          <w:bCs/>
          <w:color w:val="auto"/>
          <w:szCs w:val="21"/>
          <w:highlight w:val="none"/>
        </w:rPr>
        <w:t>三、获取招标文件</w:t>
      </w:r>
      <w:bookmarkEnd w:id="11"/>
      <w:bookmarkEnd w:id="12"/>
      <w:bookmarkEnd w:id="13"/>
      <w:bookmarkEnd w:id="14"/>
    </w:p>
    <w:p w14:paraId="08CA030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bookmarkStart w:id="15" w:name="_Toc28359082"/>
      <w:bookmarkStart w:id="16" w:name="_Toc28359005"/>
      <w:bookmarkStart w:id="17" w:name="_Toc35393624"/>
      <w:bookmarkStart w:id="18" w:name="_Toc35393793"/>
      <w:r>
        <w:rPr>
          <w:rFonts w:hint="eastAsia" w:ascii="宋体" w:hAnsi="宋体"/>
          <w:color w:val="auto"/>
          <w:szCs w:val="21"/>
          <w:highlight w:val="none"/>
        </w:rPr>
        <w:t>时间：</w:t>
      </w:r>
      <w:r>
        <w:rPr>
          <w:rFonts w:hint="eastAsia"/>
          <w:color w:val="auto"/>
          <w:szCs w:val="21"/>
          <w:highlight w:val="none"/>
        </w:rPr>
        <w:t>2025年</w:t>
      </w:r>
      <w:r>
        <w:rPr>
          <w:rFonts w:hint="eastAsia"/>
          <w:color w:val="auto"/>
          <w:szCs w:val="21"/>
          <w:highlight w:val="none"/>
          <w:lang w:val="en-US" w:eastAsia="zh-CN"/>
        </w:rPr>
        <w:t>6</w:t>
      </w:r>
      <w:r>
        <w:rPr>
          <w:color w:val="auto"/>
          <w:szCs w:val="21"/>
          <w:highlight w:val="none"/>
        </w:rPr>
        <w:t>月</w:t>
      </w:r>
      <w:r>
        <w:rPr>
          <w:rFonts w:hint="eastAsia"/>
          <w:color w:val="auto"/>
          <w:szCs w:val="21"/>
          <w:highlight w:val="none"/>
          <w:lang w:val="en-US" w:eastAsia="zh-CN"/>
        </w:rPr>
        <w:t>5</w:t>
      </w:r>
      <w:r>
        <w:rPr>
          <w:color w:val="auto"/>
          <w:szCs w:val="21"/>
          <w:highlight w:val="none"/>
        </w:rPr>
        <w:t>日至</w:t>
      </w:r>
      <w:r>
        <w:rPr>
          <w:rFonts w:hint="eastAsia"/>
          <w:color w:val="auto"/>
          <w:szCs w:val="21"/>
          <w:highlight w:val="none"/>
        </w:rPr>
        <w:t>2025年</w:t>
      </w:r>
      <w:r>
        <w:rPr>
          <w:rFonts w:hint="eastAsia"/>
          <w:color w:val="auto"/>
          <w:szCs w:val="21"/>
          <w:highlight w:val="none"/>
          <w:lang w:val="en-US" w:eastAsia="zh-CN"/>
        </w:rPr>
        <w:t>6</w:t>
      </w:r>
      <w:r>
        <w:rPr>
          <w:color w:val="auto"/>
          <w:szCs w:val="21"/>
          <w:highlight w:val="none"/>
        </w:rPr>
        <w:t>月</w:t>
      </w:r>
      <w:r>
        <w:rPr>
          <w:rFonts w:hint="eastAsia"/>
          <w:color w:val="auto"/>
          <w:szCs w:val="21"/>
          <w:highlight w:val="none"/>
          <w:lang w:val="en-US" w:eastAsia="zh-CN"/>
        </w:rPr>
        <w:t>12</w:t>
      </w:r>
      <w:r>
        <w:rPr>
          <w:color w:val="auto"/>
          <w:szCs w:val="21"/>
          <w:highlight w:val="none"/>
        </w:rPr>
        <w:t>日</w:t>
      </w:r>
      <w:r>
        <w:rPr>
          <w:rFonts w:hint="eastAsia" w:ascii="宋体" w:hAnsi="宋体" w:cs="宋体"/>
          <w:color w:val="auto"/>
          <w:szCs w:val="21"/>
          <w:highlight w:val="none"/>
        </w:rPr>
        <w:t>（北京时间，法定节假日除外）</w:t>
      </w:r>
    </w:p>
    <w:p w14:paraId="1E0ABED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地点：“扬州市公共资源交易平台邗江分中心国企采购栏目”、“扬州维扬发展投资有限公司”</w:t>
      </w:r>
      <w:r>
        <w:rPr>
          <w:rFonts w:hint="eastAsia"/>
          <w:color w:val="auto"/>
          <w:highlight w:val="none"/>
        </w:rPr>
        <w:t>网站</w:t>
      </w:r>
    </w:p>
    <w:p w14:paraId="298B00B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方式：</w:t>
      </w:r>
      <w:r>
        <w:rPr>
          <w:rFonts w:hint="eastAsia" w:ascii="宋体" w:hAnsi="宋体"/>
          <w:color w:val="auto"/>
          <w:szCs w:val="21"/>
          <w:highlight w:val="none"/>
        </w:rPr>
        <w:t>投标供应商如确定参加投标，请在</w:t>
      </w:r>
      <w:r>
        <w:rPr>
          <w:rFonts w:hint="eastAsia"/>
          <w:color w:val="auto"/>
          <w:szCs w:val="21"/>
          <w:highlight w:val="none"/>
        </w:rPr>
        <w:t>2025年</w:t>
      </w:r>
      <w:r>
        <w:rPr>
          <w:rFonts w:hint="eastAsia"/>
          <w:color w:val="auto"/>
          <w:szCs w:val="21"/>
          <w:highlight w:val="none"/>
          <w:lang w:val="en-US" w:eastAsia="zh-CN"/>
        </w:rPr>
        <w:t>6</w:t>
      </w:r>
      <w:r>
        <w:rPr>
          <w:color w:val="auto"/>
          <w:szCs w:val="21"/>
          <w:highlight w:val="none"/>
        </w:rPr>
        <w:t>月</w:t>
      </w:r>
      <w:r>
        <w:rPr>
          <w:rFonts w:hint="eastAsia"/>
          <w:color w:val="auto"/>
          <w:szCs w:val="21"/>
          <w:highlight w:val="none"/>
          <w:lang w:val="en-US" w:eastAsia="zh-CN"/>
        </w:rPr>
        <w:t>12</w:t>
      </w:r>
      <w:r>
        <w:rPr>
          <w:color w:val="auto"/>
          <w:szCs w:val="21"/>
          <w:highlight w:val="none"/>
        </w:rPr>
        <w:t>日</w:t>
      </w:r>
      <w:r>
        <w:rPr>
          <w:rFonts w:hint="eastAsia"/>
          <w:color w:val="auto"/>
          <w:szCs w:val="21"/>
          <w:highlight w:val="none"/>
        </w:rPr>
        <w:t>17:30</w:t>
      </w:r>
      <w:r>
        <w:rPr>
          <w:rFonts w:hint="eastAsia" w:ascii="宋体" w:hAnsi="宋体"/>
          <w:color w:val="auto"/>
          <w:szCs w:val="21"/>
          <w:highlight w:val="none"/>
        </w:rPr>
        <w:t>前如实填写《供应商参加投标确认函》，并</w:t>
      </w:r>
      <w:r>
        <w:rPr>
          <w:rFonts w:hint="eastAsia" w:ascii="宋体" w:hAnsi="宋体"/>
          <w:color w:val="auto"/>
          <w:kern w:val="0"/>
          <w:szCs w:val="21"/>
          <w:highlight w:val="none"/>
        </w:rPr>
        <w:t>将加盖投标人公章的《供应商参加投标确认函》的图片或扫描件发送至采购代理机构经办人</w:t>
      </w:r>
      <w:r>
        <w:rPr>
          <w:rFonts w:hint="eastAsia" w:ascii="宋体" w:hAnsi="宋体"/>
          <w:color w:val="auto"/>
          <w:szCs w:val="21"/>
          <w:highlight w:val="none"/>
        </w:rPr>
        <w:t>电子邮箱（</w:t>
      </w:r>
      <w:r>
        <w:rPr>
          <w:color w:val="auto"/>
          <w:highlight w:val="none"/>
        </w:rPr>
        <w:fldChar w:fldCharType="begin"/>
      </w:r>
      <w:r>
        <w:rPr>
          <w:color w:val="auto"/>
          <w:highlight w:val="none"/>
        </w:rPr>
        <w:instrText xml:space="preserve"> HYPERLINK "mailto:1274847791@qq.com" </w:instrText>
      </w:r>
      <w:r>
        <w:rPr>
          <w:color w:val="auto"/>
          <w:highlight w:val="none"/>
        </w:rPr>
        <w:fldChar w:fldCharType="separate"/>
      </w:r>
      <w:r>
        <w:rPr>
          <w:rStyle w:val="42"/>
          <w:rFonts w:hint="eastAsia"/>
          <w:color w:val="auto"/>
          <w:kern w:val="0"/>
          <w:highlight w:val="none"/>
        </w:rPr>
        <w:t>2535112693@qq.com</w:t>
      </w:r>
      <w:r>
        <w:rPr>
          <w:rStyle w:val="42"/>
          <w:rFonts w:hint="eastAsia"/>
          <w:color w:val="auto"/>
          <w:kern w:val="0"/>
          <w:highlight w:val="none"/>
        </w:rPr>
        <w:fldChar w:fldCharType="end"/>
      </w:r>
      <w:r>
        <w:rPr>
          <w:rFonts w:hint="eastAsia" w:ascii="宋体" w:hAnsi="宋体"/>
          <w:color w:val="auto"/>
          <w:kern w:val="0"/>
          <w:szCs w:val="21"/>
          <w:highlight w:val="none"/>
        </w:rPr>
        <w:t>,</w:t>
      </w:r>
      <w:r>
        <w:rPr>
          <w:rFonts w:hint="eastAsia" w:ascii="宋体" w:hAnsi="宋体"/>
          <w:color w:val="auto"/>
          <w:szCs w:val="21"/>
          <w:highlight w:val="none"/>
        </w:rPr>
        <w:t>联系电话：</w:t>
      </w:r>
      <w:r>
        <w:rPr>
          <w:rFonts w:hint="eastAsia"/>
          <w:color w:val="auto"/>
          <w:szCs w:val="21"/>
          <w:highlight w:val="none"/>
        </w:rPr>
        <w:t>18652792880</w:t>
      </w:r>
      <w:r>
        <w:rPr>
          <w:rFonts w:hint="eastAsia" w:ascii="宋体" w:hAnsi="宋体"/>
          <w:color w:val="auto"/>
          <w:szCs w:val="21"/>
          <w:highlight w:val="none"/>
        </w:rPr>
        <w:t>）。</w:t>
      </w:r>
      <w:r>
        <w:rPr>
          <w:rFonts w:hint="eastAsia" w:ascii="宋体" w:hAnsi="宋体" w:cs="宋体"/>
          <w:color w:val="auto"/>
          <w:szCs w:val="21"/>
          <w:highlight w:val="none"/>
        </w:rPr>
        <w:t>如供应商未按上述要求去做，将自行承担所产生的风险。未报名（提交确认函）者、超过时限者不得前来投标，内容不全者后果自负。</w:t>
      </w:r>
    </w:p>
    <w:p w14:paraId="24960D15">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售价：</w:t>
      </w:r>
      <w:r>
        <w:rPr>
          <w:rFonts w:hint="eastAsia" w:cs="宋体"/>
          <w:color w:val="auto"/>
          <w:szCs w:val="21"/>
          <w:highlight w:val="none"/>
        </w:rPr>
        <w:t>0</w:t>
      </w:r>
      <w:r>
        <w:rPr>
          <w:rFonts w:hint="eastAsia" w:ascii="宋体" w:hAnsi="宋体" w:cs="宋体"/>
          <w:color w:val="auto"/>
          <w:szCs w:val="21"/>
          <w:highlight w:val="none"/>
        </w:rPr>
        <w:t>元。</w:t>
      </w:r>
    </w:p>
    <w:p w14:paraId="67DC82A0">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四、提交投标文件</w:t>
      </w:r>
      <w:bookmarkEnd w:id="15"/>
      <w:bookmarkEnd w:id="16"/>
      <w:r>
        <w:rPr>
          <w:rFonts w:hint="eastAsia" w:ascii="宋体" w:hAnsi="宋体" w:eastAsia="宋体" w:cs="宋体"/>
          <w:b/>
          <w:bCs/>
          <w:color w:val="auto"/>
          <w:szCs w:val="21"/>
          <w:highlight w:val="none"/>
        </w:rPr>
        <w:t>截止时间、开标时间和地点</w:t>
      </w:r>
      <w:bookmarkEnd w:id="17"/>
      <w:bookmarkEnd w:id="18"/>
    </w:p>
    <w:p w14:paraId="48F1833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截止时间：</w:t>
      </w:r>
      <w:r>
        <w:rPr>
          <w:rFonts w:hint="eastAsia" w:cs="宋体"/>
          <w:color w:val="auto"/>
          <w:szCs w:val="21"/>
          <w:highlight w:val="none"/>
        </w:rPr>
        <w:t>2025年6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w:t>
      </w:r>
      <w:r>
        <w:rPr>
          <w:rFonts w:hint="eastAsia" w:cs="宋体"/>
          <w:color w:val="auto"/>
          <w:szCs w:val="21"/>
          <w:highlight w:val="none"/>
          <w:lang w:val="en-US" w:eastAsia="zh-CN"/>
        </w:rPr>
        <w:t>9</w:t>
      </w:r>
      <w:r>
        <w:rPr>
          <w:rFonts w:hint="eastAsia" w:ascii="宋体" w:hAnsi="宋体" w:cs="宋体"/>
          <w:color w:val="auto"/>
          <w:szCs w:val="21"/>
          <w:highlight w:val="none"/>
        </w:rPr>
        <w:t>点</w:t>
      </w:r>
      <w:r>
        <w:rPr>
          <w:rFonts w:hint="eastAsia" w:ascii="宋体" w:hAnsi="宋体" w:cs="宋体"/>
          <w:color w:val="auto"/>
          <w:szCs w:val="21"/>
          <w:highlight w:val="none"/>
          <w:lang w:val="en-US" w:eastAsia="zh-CN"/>
        </w:rPr>
        <w:t>3</w:t>
      </w:r>
      <w:r>
        <w:rPr>
          <w:rFonts w:hint="eastAsia" w:cs="宋体"/>
          <w:color w:val="auto"/>
          <w:szCs w:val="21"/>
          <w:highlight w:val="none"/>
        </w:rPr>
        <w:t>0</w:t>
      </w:r>
      <w:r>
        <w:rPr>
          <w:rFonts w:hint="eastAsia" w:ascii="宋体" w:hAnsi="宋体" w:cs="宋体"/>
          <w:color w:val="auto"/>
          <w:szCs w:val="21"/>
          <w:highlight w:val="none"/>
        </w:rPr>
        <w:t>分（北京时间）</w:t>
      </w:r>
    </w:p>
    <w:p w14:paraId="03372929">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开标时间：</w:t>
      </w:r>
      <w:r>
        <w:rPr>
          <w:rFonts w:hint="eastAsia" w:cs="宋体"/>
          <w:color w:val="auto"/>
          <w:szCs w:val="21"/>
          <w:highlight w:val="none"/>
        </w:rPr>
        <w:t>2025年6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26</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点</w:t>
      </w:r>
      <w:r>
        <w:rPr>
          <w:rFonts w:hint="eastAsia" w:cs="宋体"/>
          <w:color w:val="auto"/>
          <w:szCs w:val="21"/>
          <w:highlight w:val="none"/>
          <w:lang w:val="en-US" w:eastAsia="zh-CN"/>
        </w:rPr>
        <w:t>3</w:t>
      </w:r>
      <w:r>
        <w:rPr>
          <w:rFonts w:hint="eastAsia" w:cs="宋体"/>
          <w:color w:val="auto"/>
          <w:szCs w:val="21"/>
          <w:highlight w:val="none"/>
        </w:rPr>
        <w:t>0</w:t>
      </w:r>
      <w:r>
        <w:rPr>
          <w:rFonts w:hint="eastAsia" w:ascii="宋体" w:hAnsi="宋体" w:cs="宋体"/>
          <w:color w:val="auto"/>
          <w:szCs w:val="21"/>
          <w:highlight w:val="none"/>
        </w:rPr>
        <w:t>分（北京时间）</w:t>
      </w:r>
    </w:p>
    <w:p w14:paraId="52AF6D1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地点：</w:t>
      </w:r>
      <w:bookmarkStart w:id="19" w:name="_Toc28359007"/>
      <w:bookmarkStart w:id="20" w:name="_Toc28359084"/>
      <w:bookmarkStart w:id="21" w:name="_Toc35393794"/>
      <w:bookmarkStart w:id="22" w:name="_Toc35393625"/>
      <w:r>
        <w:rPr>
          <w:rFonts w:hint="eastAsia" w:ascii="宋体" w:hAnsi="宋体" w:cs="宋体"/>
          <w:color w:val="auto"/>
          <w:szCs w:val="21"/>
          <w:highlight w:val="none"/>
        </w:rPr>
        <w:t>江苏时代投资咨询有限公司二楼开标室（扬州市汶河北路</w:t>
      </w:r>
      <w:r>
        <w:rPr>
          <w:rFonts w:hint="eastAsia" w:cs="宋体"/>
          <w:color w:val="auto"/>
          <w:szCs w:val="21"/>
          <w:highlight w:val="none"/>
        </w:rPr>
        <w:t>65</w:t>
      </w:r>
      <w:r>
        <w:rPr>
          <w:rFonts w:hint="eastAsia" w:ascii="宋体" w:hAnsi="宋体" w:cs="宋体"/>
          <w:color w:val="auto"/>
          <w:szCs w:val="21"/>
          <w:highlight w:val="none"/>
        </w:rPr>
        <w:t>号</w:t>
      </w:r>
      <w:r>
        <w:rPr>
          <w:rFonts w:hint="eastAsia" w:cs="宋体"/>
          <w:color w:val="auto"/>
          <w:szCs w:val="21"/>
          <w:highlight w:val="none"/>
        </w:rPr>
        <w:t>2</w:t>
      </w:r>
      <w:r>
        <w:rPr>
          <w:rFonts w:hint="eastAsia" w:ascii="宋体" w:hAnsi="宋体" w:cs="宋体"/>
          <w:color w:val="auto"/>
          <w:szCs w:val="21"/>
          <w:highlight w:val="none"/>
        </w:rPr>
        <w:t>楼）</w:t>
      </w:r>
    </w:p>
    <w:bookmarkEnd w:id="19"/>
    <w:bookmarkEnd w:id="20"/>
    <w:bookmarkEnd w:id="21"/>
    <w:bookmarkEnd w:id="22"/>
    <w:p w14:paraId="38544DE4">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bookmarkStart w:id="23" w:name="_Toc28359085"/>
      <w:bookmarkStart w:id="24" w:name="_Toc28359008"/>
      <w:bookmarkStart w:id="25" w:name="_Toc35393796"/>
      <w:bookmarkStart w:id="26" w:name="_Toc35393627"/>
      <w:r>
        <w:rPr>
          <w:rFonts w:hint="eastAsia" w:ascii="宋体" w:hAnsi="宋体" w:eastAsia="宋体" w:cs="宋体"/>
          <w:b/>
          <w:bCs/>
          <w:color w:val="auto"/>
          <w:szCs w:val="21"/>
          <w:highlight w:val="none"/>
        </w:rPr>
        <w:t>五、公告期限</w:t>
      </w:r>
    </w:p>
    <w:p w14:paraId="224C6AD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自本公告发布之日起</w:t>
      </w:r>
      <w:r>
        <w:rPr>
          <w:rFonts w:hint="eastAsia" w:cs="宋体"/>
          <w:color w:val="auto"/>
          <w:szCs w:val="21"/>
          <w:highlight w:val="none"/>
        </w:rPr>
        <w:t>5</w:t>
      </w:r>
      <w:r>
        <w:rPr>
          <w:rFonts w:hint="eastAsia" w:ascii="宋体" w:hAnsi="宋体" w:cs="宋体"/>
          <w:color w:val="auto"/>
          <w:szCs w:val="21"/>
          <w:highlight w:val="none"/>
        </w:rPr>
        <w:t>个工作日。</w:t>
      </w:r>
    </w:p>
    <w:p w14:paraId="16F349A8">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六、</w:t>
      </w:r>
      <w:r>
        <w:rPr>
          <w:rFonts w:hint="eastAsia" w:ascii="宋体" w:hAnsi="宋体" w:eastAsia="宋体" w:cs="宋体"/>
          <w:b/>
          <w:bCs/>
          <w:color w:val="auto"/>
          <w:szCs w:val="21"/>
          <w:highlight w:val="none"/>
        </w:rPr>
        <w:t>其他补充事宜</w:t>
      </w:r>
      <w:bookmarkStart w:id="118" w:name="_GoBack"/>
      <w:bookmarkEnd w:id="118"/>
    </w:p>
    <w:p w14:paraId="7FEC8556">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color w:val="auto"/>
          <w:szCs w:val="21"/>
          <w:highlight w:val="none"/>
        </w:rPr>
        <w:t>1</w:t>
      </w:r>
      <w:r>
        <w:rPr>
          <w:rFonts w:hint="eastAsia" w:ascii="宋体" w:hAnsi="宋体"/>
          <w:color w:val="auto"/>
          <w:szCs w:val="21"/>
          <w:highlight w:val="none"/>
        </w:rPr>
        <w:t>、拒绝下述供应商参加本次采购活动：</w:t>
      </w:r>
    </w:p>
    <w:p w14:paraId="6691D5D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color w:val="auto"/>
          <w:szCs w:val="21"/>
          <w:highlight w:val="none"/>
        </w:rPr>
        <w:t>1</w:t>
      </w:r>
      <w:r>
        <w:rPr>
          <w:rFonts w:hint="eastAsia" w:ascii="宋体" w:hAnsi="宋体"/>
          <w:color w:val="auto"/>
          <w:szCs w:val="21"/>
          <w:highlight w:val="none"/>
        </w:rPr>
        <w:t>）供应商单位负责人为同一人或者存在直接控股、管理关系的不同供应商，不得参加同一合同项下的政府采购活动。</w:t>
      </w:r>
    </w:p>
    <w:p w14:paraId="2F996861">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color w:val="auto"/>
          <w:szCs w:val="21"/>
          <w:highlight w:val="none"/>
        </w:rPr>
        <w:t>2</w:t>
      </w:r>
      <w:r>
        <w:rPr>
          <w:rFonts w:hint="eastAsia" w:ascii="宋体" w:hAnsi="宋体"/>
          <w:color w:val="auto"/>
          <w:szCs w:val="21"/>
          <w:highlight w:val="none"/>
        </w:rPr>
        <w:t>）凡为采购项目提供整体设计、规范编制或者项目管理、监理、检测、代理等服务的供应商，不得再参加该项目的其他采购活动。</w:t>
      </w:r>
    </w:p>
    <w:p w14:paraId="3E5EFC7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w:t>
      </w:r>
      <w:r>
        <w:rPr>
          <w:rFonts w:hint="eastAsia"/>
          <w:color w:val="auto"/>
          <w:szCs w:val="21"/>
          <w:highlight w:val="none"/>
        </w:rPr>
        <w:t>3</w:t>
      </w:r>
      <w:r>
        <w:rPr>
          <w:rFonts w:hint="eastAsia" w:ascii="宋体" w:hAnsi="宋体"/>
          <w:color w:val="auto"/>
          <w:szCs w:val="21"/>
          <w:highlight w:val="none"/>
        </w:rPr>
        <w:t>）供应商被“信用中国”网站（</w:t>
      </w:r>
      <w:r>
        <w:rPr>
          <w:rFonts w:hint="eastAsia"/>
          <w:color w:val="auto"/>
          <w:szCs w:val="21"/>
          <w:highlight w:val="none"/>
        </w:rPr>
        <w:t>www</w:t>
      </w:r>
      <w:r>
        <w:rPr>
          <w:rFonts w:hint="eastAsia" w:ascii="宋体" w:hAnsi="宋体"/>
          <w:color w:val="auto"/>
          <w:szCs w:val="21"/>
          <w:highlight w:val="none"/>
        </w:rPr>
        <w:t>.</w:t>
      </w:r>
      <w:r>
        <w:rPr>
          <w:rFonts w:hint="eastAsia"/>
          <w:color w:val="auto"/>
          <w:szCs w:val="21"/>
          <w:highlight w:val="none"/>
        </w:rPr>
        <w:t>creditchina</w:t>
      </w:r>
      <w:r>
        <w:rPr>
          <w:rFonts w:hint="eastAsia" w:ascii="宋体" w:hAnsi="宋体"/>
          <w:color w:val="auto"/>
          <w:szCs w:val="21"/>
          <w:highlight w:val="none"/>
        </w:rPr>
        <w:t>.</w:t>
      </w:r>
      <w:r>
        <w:rPr>
          <w:rFonts w:hint="eastAsia"/>
          <w:color w:val="auto"/>
          <w:szCs w:val="21"/>
          <w:highlight w:val="none"/>
        </w:rPr>
        <w:t>gov</w:t>
      </w:r>
      <w:r>
        <w:rPr>
          <w:rFonts w:hint="eastAsia" w:ascii="宋体" w:hAnsi="宋体"/>
          <w:color w:val="auto"/>
          <w:szCs w:val="21"/>
          <w:highlight w:val="none"/>
        </w:rPr>
        <w:t>.</w:t>
      </w:r>
      <w:r>
        <w:rPr>
          <w:rFonts w:hint="eastAsia"/>
          <w:color w:val="auto"/>
          <w:szCs w:val="21"/>
          <w:highlight w:val="none"/>
        </w:rPr>
        <w:t>cn</w:t>
      </w:r>
      <w:r>
        <w:rPr>
          <w:rFonts w:hint="eastAsia" w:ascii="宋体" w:hAnsi="宋体"/>
          <w:color w:val="auto"/>
          <w:szCs w:val="21"/>
          <w:highlight w:val="none"/>
        </w:rPr>
        <w:t>）、“中国政府采购网"(</w:t>
      </w:r>
      <w:r>
        <w:rPr>
          <w:rFonts w:hint="eastAsia"/>
          <w:color w:val="auto"/>
          <w:szCs w:val="21"/>
          <w:highlight w:val="none"/>
        </w:rPr>
        <w:t>www</w:t>
      </w:r>
      <w:r>
        <w:rPr>
          <w:rFonts w:hint="eastAsia" w:ascii="宋体" w:hAnsi="宋体"/>
          <w:color w:val="auto"/>
          <w:szCs w:val="21"/>
          <w:highlight w:val="none"/>
        </w:rPr>
        <w:t>.</w:t>
      </w:r>
      <w:r>
        <w:rPr>
          <w:rFonts w:hint="eastAsia"/>
          <w:color w:val="auto"/>
          <w:szCs w:val="21"/>
          <w:highlight w:val="none"/>
        </w:rPr>
        <w:t>ccgp</w:t>
      </w:r>
      <w:r>
        <w:rPr>
          <w:rFonts w:hint="eastAsia" w:ascii="宋体" w:hAnsi="宋体"/>
          <w:color w:val="auto"/>
          <w:szCs w:val="21"/>
          <w:highlight w:val="none"/>
        </w:rPr>
        <w:t>.</w:t>
      </w:r>
      <w:r>
        <w:rPr>
          <w:rFonts w:hint="eastAsia"/>
          <w:color w:val="auto"/>
          <w:szCs w:val="21"/>
          <w:highlight w:val="none"/>
        </w:rPr>
        <w:t>gov</w:t>
      </w:r>
      <w:r>
        <w:rPr>
          <w:rFonts w:hint="eastAsia" w:ascii="宋体" w:hAnsi="宋体"/>
          <w:color w:val="auto"/>
          <w:szCs w:val="21"/>
          <w:highlight w:val="none"/>
        </w:rPr>
        <w:t>.</w:t>
      </w:r>
      <w:r>
        <w:rPr>
          <w:rFonts w:hint="eastAsia"/>
          <w:color w:val="auto"/>
          <w:szCs w:val="21"/>
          <w:highlight w:val="none"/>
        </w:rPr>
        <w:t>cn</w:t>
      </w:r>
      <w:r>
        <w:rPr>
          <w:rFonts w:hint="eastAsia" w:ascii="宋体" w:hAnsi="宋体"/>
          <w:color w:val="auto"/>
          <w:szCs w:val="21"/>
          <w:highlight w:val="none"/>
        </w:rPr>
        <w:t>)列入失信被执行人、重大税收违法案件当事人名单、政府采购严重违法失信行为记录名单。</w:t>
      </w:r>
    </w:p>
    <w:p w14:paraId="576F9B9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color w:val="auto"/>
          <w:szCs w:val="21"/>
          <w:highlight w:val="none"/>
        </w:rPr>
        <w:t>2</w:t>
      </w:r>
      <w:r>
        <w:rPr>
          <w:rFonts w:hint="eastAsia" w:ascii="宋体" w:hAnsi="宋体"/>
          <w:color w:val="auto"/>
          <w:szCs w:val="21"/>
          <w:highlight w:val="none"/>
        </w:rPr>
        <w:t>、有关本次招标的事项若存在变动或修改，敬请及时关注“扬州市公共资源交易平台邗江分中心国企采购栏目”、“扬州维扬发展投资有限公司”网站的信息或更正公告。</w:t>
      </w:r>
    </w:p>
    <w:p w14:paraId="7116BDE0">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olor w:val="auto"/>
          <w:szCs w:val="21"/>
          <w:highlight w:val="none"/>
        </w:rPr>
      </w:pPr>
      <w:r>
        <w:rPr>
          <w:rFonts w:hint="eastAsia"/>
          <w:color w:val="auto"/>
          <w:szCs w:val="21"/>
          <w:highlight w:val="none"/>
        </w:rPr>
        <w:t>3</w:t>
      </w:r>
      <w:r>
        <w:rPr>
          <w:rFonts w:hint="eastAsia" w:ascii="宋体" w:hAnsi="宋体"/>
          <w:color w:val="auto"/>
          <w:szCs w:val="21"/>
          <w:highlight w:val="none"/>
        </w:rPr>
        <w:t>、投标文件一式伍份(一份正本，肆份副本)，每份投标文件须清楚地标明“正本”或“副本”字样，一旦副本与正本不符，以正本为准。</w:t>
      </w:r>
      <w:r>
        <w:rPr>
          <w:rFonts w:hint="eastAsia" w:ascii="宋体" w:hAnsi="宋体" w:cs="宋体"/>
          <w:bCs/>
          <w:color w:val="auto"/>
          <w:szCs w:val="21"/>
          <w:highlight w:val="none"/>
        </w:rPr>
        <w:t>电子版投标文件壹份(一般应为pdf格式，U盘形式（单独密封）、随纸质正本文件一并提交)。当电子版文件和纸质正本文件不一致时，以纸质正本文件为准。电子版文件用于辅助评标和存档，投标人需承担前述不一致造成的不利后果。</w:t>
      </w:r>
    </w:p>
    <w:p w14:paraId="0C8D815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color w:val="auto"/>
          <w:szCs w:val="21"/>
          <w:highlight w:val="none"/>
        </w:rPr>
        <w:t>4</w:t>
      </w:r>
      <w:r>
        <w:rPr>
          <w:rFonts w:hint="eastAsia" w:ascii="宋体" w:hAnsi="宋体"/>
          <w:color w:val="auto"/>
          <w:szCs w:val="21"/>
          <w:highlight w:val="none"/>
        </w:rPr>
        <w:t>、</w:t>
      </w:r>
      <w:r>
        <w:rPr>
          <w:rFonts w:hint="eastAsia" w:ascii="宋体" w:hAnsi="宋体" w:cs="宋体"/>
          <w:color w:val="auto"/>
          <w:szCs w:val="21"/>
          <w:highlight w:val="none"/>
        </w:rPr>
        <w:t>本次招标不收取投标保证金。</w:t>
      </w:r>
    </w:p>
    <w:p w14:paraId="398363F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cs="宋体"/>
          <w:color w:val="auto"/>
          <w:szCs w:val="21"/>
          <w:highlight w:val="none"/>
        </w:rPr>
        <w:t>5</w:t>
      </w:r>
      <w:r>
        <w:rPr>
          <w:rFonts w:hint="eastAsia" w:ascii="宋体" w:hAnsi="宋体" w:cs="宋体"/>
          <w:color w:val="auto"/>
          <w:szCs w:val="21"/>
          <w:highlight w:val="none"/>
        </w:rPr>
        <w:t>、潜在供应商对采购文件项目需求部分的询问、质疑请向采购人提出，由采购人负责答复。</w:t>
      </w:r>
    </w:p>
    <w:p w14:paraId="484D4473">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cs="宋体"/>
          <w:color w:val="auto"/>
          <w:szCs w:val="21"/>
          <w:highlight w:val="none"/>
        </w:rPr>
        <w:t>6</w:t>
      </w:r>
      <w:r>
        <w:rPr>
          <w:rFonts w:hint="eastAsia" w:ascii="宋体" w:hAnsi="宋体" w:cs="宋体"/>
          <w:color w:val="auto"/>
          <w:szCs w:val="21"/>
          <w:highlight w:val="none"/>
        </w:rPr>
        <w:t>.</w:t>
      </w:r>
      <w:r>
        <w:rPr>
          <w:rFonts w:hint="eastAsia" w:ascii="宋体" w:hAnsi="宋体" w:cs="宋体"/>
          <w:i/>
          <w:iCs/>
          <w:color w:val="auto"/>
          <w:szCs w:val="21"/>
          <w:highlight w:val="none"/>
          <w:u w:val="single"/>
        </w:rPr>
        <w:t>本项目采购文件中所有斜体下划线部分为实质性条款，如不满足，则为无效投标。</w:t>
      </w:r>
    </w:p>
    <w:p w14:paraId="0C92AC7C">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七、对本次招标提出询问，请按以下方式联系</w:t>
      </w:r>
    </w:p>
    <w:bookmarkEnd w:id="23"/>
    <w:bookmarkEnd w:id="24"/>
    <w:bookmarkEnd w:id="25"/>
    <w:bookmarkEnd w:id="26"/>
    <w:p w14:paraId="2C371A9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.采购人信息</w:t>
      </w:r>
    </w:p>
    <w:p w14:paraId="552A111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名 称：扬州锦毓置业有限公司</w:t>
      </w:r>
    </w:p>
    <w:p w14:paraId="3A7E22DA">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olor w:val="auto"/>
          <w:szCs w:val="21"/>
          <w:highlight w:val="none"/>
          <w:lang w:val="en-US" w:eastAsia="zh-CN"/>
        </w:rPr>
      </w:pPr>
      <w:bookmarkStart w:id="27" w:name="_Toc28359097"/>
      <w:bookmarkStart w:id="28" w:name="_Toc28359020"/>
      <w:bookmarkStart w:id="29" w:name="_Toc35393638"/>
      <w:bookmarkStart w:id="30" w:name="_Toc35393807"/>
      <w:bookmarkStart w:id="31" w:name="_Toc497133091"/>
      <w:r>
        <w:rPr>
          <w:rFonts w:hint="eastAsia" w:ascii="宋体" w:hAnsi="宋体"/>
          <w:color w:val="auto"/>
          <w:szCs w:val="21"/>
          <w:highlight w:val="none"/>
        </w:rPr>
        <w:t>联系人：</w:t>
      </w:r>
      <w:r>
        <w:rPr>
          <w:rFonts w:hint="eastAsia" w:ascii="宋体" w:hAnsi="宋体" w:cs="宋体"/>
          <w:bCs/>
          <w:color w:val="auto"/>
          <w:kern w:val="0"/>
          <w:szCs w:val="21"/>
          <w:highlight w:val="none"/>
        </w:rPr>
        <w:t>王女士</w:t>
      </w:r>
    </w:p>
    <w:p w14:paraId="38B40217">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联系电话：</w:t>
      </w:r>
      <w:r>
        <w:rPr>
          <w:rFonts w:hint="eastAsia" w:ascii="宋体" w:hAnsi="宋体" w:cs="宋体"/>
          <w:bCs/>
          <w:color w:val="auto"/>
          <w:kern w:val="0"/>
          <w:szCs w:val="21"/>
          <w:highlight w:val="none"/>
        </w:rPr>
        <w:t>0514-82120352</w:t>
      </w:r>
    </w:p>
    <w:p w14:paraId="1C51D88E">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cs="宋体"/>
          <w:color w:val="auto"/>
          <w:szCs w:val="21"/>
          <w:highlight w:val="none"/>
        </w:rPr>
        <w:t>2</w:t>
      </w:r>
      <w:r>
        <w:rPr>
          <w:rFonts w:hint="eastAsia" w:ascii="宋体" w:hAnsi="宋体" w:cs="宋体"/>
          <w:color w:val="auto"/>
          <w:szCs w:val="21"/>
          <w:highlight w:val="none"/>
        </w:rPr>
        <w:t>.采购代理机构信息</w:t>
      </w:r>
      <w:bookmarkEnd w:id="27"/>
      <w:bookmarkEnd w:id="28"/>
      <w:bookmarkEnd w:id="29"/>
      <w:bookmarkEnd w:id="30"/>
    </w:p>
    <w:bookmarkEnd w:id="31"/>
    <w:p w14:paraId="435FFC5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名    称：江苏时代投资咨询有限公司</w:t>
      </w:r>
    </w:p>
    <w:p w14:paraId="433D398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地　  址：扬州市汶河北路</w:t>
      </w:r>
      <w:r>
        <w:rPr>
          <w:rFonts w:hint="eastAsia" w:cs="宋体"/>
          <w:color w:val="auto"/>
          <w:szCs w:val="21"/>
          <w:highlight w:val="none"/>
        </w:rPr>
        <w:t>65</w:t>
      </w:r>
      <w:r>
        <w:rPr>
          <w:rFonts w:hint="eastAsia" w:ascii="宋体" w:hAnsi="宋体" w:cs="宋体"/>
          <w:color w:val="auto"/>
          <w:szCs w:val="21"/>
          <w:highlight w:val="none"/>
        </w:rPr>
        <w:t>号</w:t>
      </w:r>
      <w:r>
        <w:rPr>
          <w:rFonts w:hint="eastAsia" w:cs="宋体"/>
          <w:color w:val="auto"/>
          <w:szCs w:val="21"/>
          <w:highlight w:val="none"/>
        </w:rPr>
        <w:t>2</w:t>
      </w:r>
      <w:r>
        <w:rPr>
          <w:rFonts w:hint="eastAsia" w:ascii="宋体" w:hAnsi="宋体" w:cs="宋体"/>
          <w:color w:val="auto"/>
          <w:szCs w:val="21"/>
          <w:highlight w:val="none"/>
        </w:rPr>
        <w:t>楼</w:t>
      </w:r>
    </w:p>
    <w:p w14:paraId="0D9899C4">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联系方式：杨小新     联系电话：</w:t>
      </w:r>
      <w:r>
        <w:rPr>
          <w:rFonts w:hint="eastAsia" w:cs="宋体"/>
          <w:color w:val="auto"/>
          <w:szCs w:val="21"/>
          <w:highlight w:val="none"/>
        </w:rPr>
        <w:t>18652798268</w:t>
      </w:r>
    </w:p>
    <w:p w14:paraId="06A91EF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cs="宋体"/>
          <w:color w:val="auto"/>
          <w:szCs w:val="21"/>
          <w:highlight w:val="none"/>
        </w:rPr>
        <w:t>3</w:t>
      </w:r>
      <w:r>
        <w:rPr>
          <w:rFonts w:hint="eastAsia" w:ascii="宋体" w:hAnsi="宋体" w:cs="宋体"/>
          <w:color w:val="auto"/>
          <w:szCs w:val="21"/>
          <w:highlight w:val="none"/>
        </w:rPr>
        <w:t>.项目联系方式</w:t>
      </w:r>
    </w:p>
    <w:p w14:paraId="04365AC0">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项目联系人：林露</w:t>
      </w:r>
    </w:p>
    <w:p w14:paraId="619DF4A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电　  话：</w:t>
      </w:r>
      <w:r>
        <w:rPr>
          <w:rFonts w:hint="eastAsia" w:cs="宋体"/>
          <w:color w:val="auto"/>
          <w:szCs w:val="21"/>
          <w:highlight w:val="none"/>
        </w:rPr>
        <w:t>18652792880</w:t>
      </w:r>
    </w:p>
    <w:p w14:paraId="361BF72F">
      <w:pPr>
        <w:shd w:val="clear"/>
        <w:spacing w:line="440" w:lineRule="exact"/>
        <w:ind w:firstLine="420" w:firstLineChars="200"/>
        <w:jc w:val="right"/>
        <w:rPr>
          <w:rFonts w:ascii="宋体" w:hAnsi="宋体" w:cs="宋体"/>
          <w:color w:val="auto"/>
          <w:szCs w:val="21"/>
          <w:highlight w:val="none"/>
        </w:rPr>
      </w:pPr>
      <w:r>
        <w:rPr>
          <w:rFonts w:hint="eastAsia" w:ascii="宋体" w:hAnsi="宋体" w:cs="宋体"/>
          <w:color w:val="auto"/>
          <w:szCs w:val="21"/>
          <w:highlight w:val="none"/>
        </w:rPr>
        <w:t>江苏时代投资咨询有限公司</w:t>
      </w:r>
    </w:p>
    <w:p w14:paraId="0E08DDB9">
      <w:pPr>
        <w:pStyle w:val="47"/>
        <w:shd w:val="clear"/>
        <w:spacing w:before="0" w:after="0" w:line="440" w:lineRule="exact"/>
        <w:ind w:firstLine="420"/>
        <w:jc w:val="right"/>
        <w:rPr>
          <w:color w:val="auto"/>
          <w:highlight w:val="none"/>
        </w:rPr>
      </w:pPr>
      <w:r>
        <w:rPr>
          <w:rFonts w:hint="eastAsia"/>
          <w:color w:val="auto"/>
          <w:highlight w:val="none"/>
        </w:rPr>
        <w:t xml:space="preserve">                               </w:t>
      </w:r>
      <w:r>
        <w:rPr>
          <w:rFonts w:hint="eastAsia" w:ascii="宋体" w:hAnsi="宋体" w:cs="宋体"/>
          <w:color w:val="auto"/>
          <w:szCs w:val="21"/>
          <w:highlight w:val="none"/>
        </w:rPr>
        <w:t xml:space="preserve">                    </w:t>
      </w:r>
      <w:r>
        <w:rPr>
          <w:rFonts w:hint="eastAsia" w:cs="宋体"/>
          <w:color w:val="auto"/>
          <w:szCs w:val="21"/>
          <w:highlight w:val="none"/>
        </w:rPr>
        <w:t>2025年</w:t>
      </w:r>
      <w:r>
        <w:rPr>
          <w:rFonts w:hint="eastAsia" w:cs="宋体"/>
          <w:color w:val="auto"/>
          <w:szCs w:val="21"/>
          <w:highlight w:val="none"/>
          <w:lang w:val="en-US" w:eastAsia="zh-CN"/>
        </w:rPr>
        <w:t>6</w:t>
      </w:r>
      <w:r>
        <w:rPr>
          <w:rFonts w:hint="eastAsia" w:ascii="宋体" w:hAnsi="宋体" w:cs="宋体"/>
          <w:color w:val="auto"/>
          <w:szCs w:val="21"/>
          <w:highlight w:val="none"/>
        </w:rPr>
        <w:t>月</w:t>
      </w:r>
      <w:r>
        <w:rPr>
          <w:rFonts w:hint="eastAsia" w:cs="宋体"/>
          <w:color w:val="auto"/>
          <w:szCs w:val="21"/>
          <w:highlight w:val="none"/>
          <w:lang w:val="en-US" w:eastAsia="zh-CN"/>
        </w:rPr>
        <w:t>5</w:t>
      </w:r>
      <w:r>
        <w:rPr>
          <w:rFonts w:hint="eastAsia" w:ascii="宋体" w:hAnsi="宋体" w:cs="宋体"/>
          <w:color w:val="auto"/>
          <w:szCs w:val="21"/>
          <w:highlight w:val="none"/>
        </w:rPr>
        <w:t>日</w:t>
      </w:r>
    </w:p>
    <w:p w14:paraId="728B857E">
      <w:pPr>
        <w:shd w:val="clear"/>
        <w:rPr>
          <w:rFonts w:ascii="宋体" w:hAnsi="宋体" w:cs="宋体"/>
          <w:color w:val="auto"/>
          <w:sz w:val="36"/>
          <w:highlight w:val="none"/>
        </w:rPr>
      </w:pPr>
      <w:bookmarkStart w:id="32" w:name="_Toc5818"/>
      <w:r>
        <w:rPr>
          <w:rFonts w:hint="eastAsia" w:ascii="宋体" w:hAnsi="宋体" w:cs="宋体"/>
          <w:color w:val="auto"/>
          <w:sz w:val="36"/>
          <w:highlight w:val="none"/>
        </w:rPr>
        <w:br w:type="page"/>
      </w:r>
    </w:p>
    <w:p w14:paraId="2C3C1782">
      <w:pPr>
        <w:pStyle w:val="2"/>
        <w:shd w:val="clear"/>
        <w:spacing w:line="360" w:lineRule="auto"/>
        <w:jc w:val="center"/>
        <w:rPr>
          <w:color w:val="auto"/>
          <w:highlight w:val="none"/>
        </w:rPr>
      </w:pPr>
      <w:bookmarkStart w:id="33" w:name="_Toc3763"/>
      <w:r>
        <w:rPr>
          <w:rFonts w:hint="eastAsia" w:ascii="宋体" w:hAnsi="宋体" w:cs="宋体"/>
          <w:color w:val="auto"/>
          <w:sz w:val="36"/>
          <w:highlight w:val="none"/>
        </w:rPr>
        <w:t>第二章 投标人须知</w:t>
      </w:r>
      <w:bookmarkEnd w:id="32"/>
      <w:bookmarkEnd w:id="33"/>
    </w:p>
    <w:p w14:paraId="7DB38650">
      <w:pPr>
        <w:shd w:val="clear"/>
        <w:spacing w:line="440" w:lineRule="exact"/>
        <w:ind w:firstLine="422" w:firstLineChars="200"/>
        <w:rPr>
          <w:rFonts w:ascii="宋体" w:hAnsi="宋体" w:cs="宋体"/>
          <w:b/>
          <w:color w:val="auto"/>
          <w:szCs w:val="21"/>
          <w:highlight w:val="none"/>
        </w:rPr>
      </w:pPr>
      <w:bookmarkStart w:id="34" w:name="_Toc16938520"/>
      <w:bookmarkStart w:id="35" w:name="_Toc513029204"/>
      <w:bookmarkStart w:id="36" w:name="_Toc20823276"/>
      <w:r>
        <w:rPr>
          <w:rFonts w:hint="eastAsia" w:cs="宋体"/>
          <w:b/>
          <w:color w:val="auto"/>
          <w:szCs w:val="21"/>
          <w:highlight w:val="none"/>
        </w:rPr>
        <w:t>1</w:t>
      </w:r>
      <w:r>
        <w:rPr>
          <w:rFonts w:hint="eastAsia" w:ascii="宋体" w:hAnsi="宋体" w:cs="宋体"/>
          <w:b/>
          <w:color w:val="auto"/>
          <w:szCs w:val="21"/>
          <w:highlight w:val="none"/>
        </w:rPr>
        <w:t>、招标方式</w:t>
      </w:r>
      <w:bookmarkEnd w:id="34"/>
      <w:bookmarkEnd w:id="35"/>
      <w:bookmarkEnd w:id="36"/>
    </w:p>
    <w:p w14:paraId="13B1ECCD">
      <w:pPr>
        <w:shd w:val="clear"/>
        <w:spacing w:line="440" w:lineRule="exact"/>
        <w:ind w:firstLine="420" w:firstLineChars="200"/>
        <w:rPr>
          <w:rFonts w:ascii="宋体" w:hAnsi="宋体" w:cs="宋体"/>
          <w:color w:val="auto"/>
          <w:szCs w:val="21"/>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 xml:space="preserve"> </w:t>
      </w:r>
      <w:r>
        <w:rPr>
          <w:rStyle w:val="80"/>
          <w:rFonts w:hint="eastAsia"/>
          <w:color w:val="auto"/>
          <w:highlight w:val="none"/>
        </w:rPr>
        <w:t>本次招标采取公开招标方式，本招标文件仅适用于</w:t>
      </w:r>
      <w:r>
        <w:rPr>
          <w:rFonts w:hint="eastAsia" w:cs="宋体"/>
          <w:color w:val="auto"/>
          <w:szCs w:val="21"/>
          <w:highlight w:val="none"/>
          <w:lang w:eastAsia="zh-CN"/>
        </w:rPr>
        <w:t>JSSDZX-2025124号</w:t>
      </w:r>
      <w:r>
        <w:rPr>
          <w:rFonts w:hint="eastAsia" w:ascii="宋体" w:hAnsi="宋体" w:cs="宋体"/>
          <w:color w:val="auto"/>
          <w:szCs w:val="21"/>
          <w:highlight w:val="none"/>
        </w:rPr>
        <w:t>项目。</w:t>
      </w:r>
    </w:p>
    <w:p w14:paraId="32B7AB12">
      <w:pPr>
        <w:shd w:val="clear"/>
        <w:spacing w:line="360" w:lineRule="auto"/>
        <w:ind w:firstLine="422" w:firstLineChars="200"/>
        <w:rPr>
          <w:rFonts w:hint="eastAsia" w:ascii="宋体" w:hAnsi="宋体" w:cs="宋体"/>
          <w:b/>
          <w:color w:val="auto"/>
          <w:szCs w:val="21"/>
          <w:highlight w:val="none"/>
        </w:rPr>
      </w:pPr>
      <w:bookmarkStart w:id="37" w:name="_Toc513029237"/>
      <w:bookmarkStart w:id="38" w:name="_Toc16938553"/>
      <w:bookmarkStart w:id="39" w:name="_Toc20823309"/>
      <w:r>
        <w:rPr>
          <w:rFonts w:hint="eastAsia" w:ascii="宋体" w:hAnsi="宋体" w:cs="宋体"/>
          <w:b/>
          <w:color w:val="auto"/>
          <w:szCs w:val="21"/>
          <w:highlight w:val="none"/>
        </w:rPr>
        <w:t>2、投标人</w:t>
      </w:r>
    </w:p>
    <w:p w14:paraId="0EED209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本招标文件中“供应商”，即“投标人”，是指参加投标竞争，并符合招标文件规定资格条件的法人、其他组织或者自然人。</w:t>
      </w:r>
    </w:p>
    <w:p w14:paraId="289C7C34">
      <w:pPr>
        <w:shd w:val="clea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2.2合格的投标人</w:t>
      </w:r>
    </w:p>
    <w:p w14:paraId="784A677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 满足投标邀请中供应商的资格条件要求的规定。</w:t>
      </w:r>
    </w:p>
    <w:p w14:paraId="36F79A8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 满足本文件实质性条款的规定。</w:t>
      </w:r>
    </w:p>
    <w:p w14:paraId="04AF4E94">
      <w:pPr>
        <w:shd w:val="clear"/>
        <w:spacing w:line="360" w:lineRule="auto"/>
        <w:ind w:firstLine="422" w:firstLineChars="200"/>
        <w:rPr>
          <w:rFonts w:hint="eastAsia" w:ascii="宋体" w:hAnsi="宋体" w:cs="宋体"/>
          <w:b/>
          <w:color w:val="auto"/>
          <w:szCs w:val="21"/>
          <w:highlight w:val="none"/>
        </w:rPr>
      </w:pPr>
      <w:bookmarkStart w:id="40" w:name="_Toc20823278"/>
      <w:bookmarkStart w:id="41" w:name="_Toc16938522"/>
      <w:bookmarkStart w:id="42" w:name="_Toc513029206"/>
      <w:r>
        <w:rPr>
          <w:rFonts w:hint="eastAsia" w:ascii="宋体" w:hAnsi="宋体" w:cs="宋体"/>
          <w:b/>
          <w:color w:val="auto"/>
          <w:szCs w:val="21"/>
          <w:highlight w:val="none"/>
        </w:rPr>
        <w:t>3、适用法律</w:t>
      </w:r>
      <w:bookmarkEnd w:id="40"/>
      <w:bookmarkEnd w:id="41"/>
      <w:bookmarkEnd w:id="42"/>
    </w:p>
    <w:p w14:paraId="6663C289">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3.1 本次招标及由此产生的合同受中华人民共和国有关的法律法规制约和保护。</w:t>
      </w:r>
    </w:p>
    <w:p w14:paraId="605DA92F">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4、投标费用</w:t>
      </w:r>
    </w:p>
    <w:p w14:paraId="0F4CA48C">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4.1 投标人应自行承担所有与参加投标有关的费用，无论投标过程中的做法和结果如何，代理机构在任何情况下均无义务和责任承担这些费用。</w:t>
      </w:r>
    </w:p>
    <w:p w14:paraId="6542FD97">
      <w:pPr>
        <w:shd w:val="clear"/>
        <w:spacing w:line="360" w:lineRule="auto"/>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4.2 本次采购由成交人在领取成交通知书前一次性支付专家评审费（专家评审费暂按500元/人次计取，按实结算（不提供发票或收据）。专家评审费以现金形式支付，专家评审费不在报价中单列。</w:t>
      </w:r>
    </w:p>
    <w:p w14:paraId="2CA84C43">
      <w:pPr>
        <w:shd w:val="clea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5、招标文件的约束力</w:t>
      </w:r>
    </w:p>
    <w:p w14:paraId="6C93AF5C">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5.1</w:t>
      </w:r>
      <w:r>
        <w:rPr>
          <w:rFonts w:hint="eastAsia" w:ascii="宋体" w:hAnsi="宋体" w:cs="宋体"/>
          <w:color w:val="auto"/>
          <w:szCs w:val="21"/>
          <w:highlight w:val="none"/>
        </w:rPr>
        <w:t xml:space="preserve"> 投标人一旦参加本项目采购活动，即被认为接受了本招标文件的规定和约束。</w:t>
      </w:r>
    </w:p>
    <w:p w14:paraId="25301209">
      <w:pPr>
        <w:shd w:val="clear"/>
        <w:spacing w:line="360" w:lineRule="auto"/>
        <w:ind w:firstLine="422" w:firstLineChars="200"/>
        <w:rPr>
          <w:rFonts w:hint="eastAsia" w:ascii="宋体" w:hAnsi="宋体" w:cs="宋体"/>
          <w:b/>
          <w:color w:val="auto"/>
          <w:szCs w:val="21"/>
          <w:highlight w:val="none"/>
        </w:rPr>
      </w:pPr>
      <w:bookmarkStart w:id="43" w:name="_Toc20823282"/>
      <w:bookmarkStart w:id="44" w:name="_Toc16938526"/>
      <w:bookmarkStart w:id="45" w:name="_Toc513029210"/>
      <w:r>
        <w:rPr>
          <w:rFonts w:hint="eastAsia" w:ascii="宋体" w:hAnsi="宋体" w:cs="宋体"/>
          <w:b/>
          <w:color w:val="auto"/>
          <w:szCs w:val="21"/>
          <w:highlight w:val="none"/>
        </w:rPr>
        <w:t>6、招标文件构成</w:t>
      </w:r>
      <w:bookmarkEnd w:id="43"/>
      <w:bookmarkEnd w:id="44"/>
      <w:bookmarkEnd w:id="45"/>
    </w:p>
    <w:p w14:paraId="56F2D62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6.1</w:t>
      </w:r>
      <w:r>
        <w:rPr>
          <w:rFonts w:hint="eastAsia" w:ascii="宋体" w:hAnsi="宋体" w:cs="宋体"/>
          <w:color w:val="auto"/>
          <w:szCs w:val="21"/>
          <w:highlight w:val="none"/>
        </w:rPr>
        <w:t xml:space="preserve"> 招标文件有以下部分组成：</w:t>
      </w:r>
    </w:p>
    <w:p w14:paraId="35F6E97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（1）招标公告</w:t>
      </w:r>
    </w:p>
    <w:p w14:paraId="762621C9">
      <w:pPr>
        <w:shd w:val="clear"/>
        <w:tabs>
          <w:tab w:val="left" w:pos="25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（2）投标人须知</w:t>
      </w:r>
    </w:p>
    <w:p w14:paraId="33C23D2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（3）合同条款及格式</w:t>
      </w:r>
    </w:p>
    <w:p w14:paraId="6B4B32A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（4）项目需求</w:t>
      </w:r>
    </w:p>
    <w:p w14:paraId="043F217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（5）评标方法与评标标准</w:t>
      </w:r>
    </w:p>
    <w:p w14:paraId="1DAB81F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2CD7872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请仔细检查招标文件是否齐全，如有缺漏请立即与代理机构联系解决。</w:t>
      </w:r>
    </w:p>
    <w:p w14:paraId="36E1FB7B">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6.2 招标的最小单位是包。招标服务数量及技术要求中未分包的，供应商对要求提供的服务不得部分投标；招标服务数量及技术要求中已经分包的，应当以包为单位投标。</w:t>
      </w:r>
    </w:p>
    <w:p w14:paraId="3338D579">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6.3 招标文件如果要求供应商提交备选投标方案的，供应商可以提交备选方案；否则，备选方案将被拒绝。</w:t>
      </w:r>
    </w:p>
    <w:p w14:paraId="513DBB4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6.4</w:t>
      </w:r>
      <w:r>
        <w:rPr>
          <w:rFonts w:hint="eastAsia" w:ascii="宋体" w:hAnsi="宋体" w:cs="宋体"/>
          <w:color w:val="auto"/>
          <w:szCs w:val="21"/>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75EC07D3">
      <w:pPr>
        <w:shd w:val="clear"/>
        <w:spacing w:line="360" w:lineRule="auto"/>
        <w:ind w:firstLine="422" w:firstLineChars="200"/>
        <w:rPr>
          <w:rFonts w:hint="eastAsia" w:ascii="宋体" w:hAnsi="宋体" w:cs="宋体"/>
          <w:b/>
          <w:color w:val="auto"/>
          <w:szCs w:val="21"/>
          <w:highlight w:val="none"/>
        </w:rPr>
      </w:pPr>
      <w:bookmarkStart w:id="46" w:name="_Toc20823283"/>
      <w:bookmarkStart w:id="47" w:name="_Toc513029211"/>
      <w:bookmarkStart w:id="48" w:name="_Toc16938527"/>
      <w:bookmarkStart w:id="49" w:name="_Toc462564070"/>
      <w:r>
        <w:rPr>
          <w:rFonts w:hint="eastAsia" w:ascii="宋体" w:hAnsi="宋体" w:cs="宋体"/>
          <w:b/>
          <w:color w:val="auto"/>
          <w:szCs w:val="21"/>
          <w:highlight w:val="none"/>
        </w:rPr>
        <w:t>7、招标文件的</w:t>
      </w:r>
      <w:bookmarkEnd w:id="46"/>
      <w:bookmarkEnd w:id="47"/>
      <w:bookmarkEnd w:id="48"/>
      <w:bookmarkEnd w:id="49"/>
      <w:r>
        <w:rPr>
          <w:rFonts w:hint="eastAsia" w:ascii="宋体" w:hAnsi="宋体" w:cs="宋体"/>
          <w:b/>
          <w:color w:val="auto"/>
          <w:szCs w:val="21"/>
          <w:highlight w:val="none"/>
        </w:rPr>
        <w:t>澄清</w:t>
      </w:r>
    </w:p>
    <w:p w14:paraId="4EB5A79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 任何要求对招标文件进行澄清的投标人，应在投标截止日期的十日前按投标邀请中的通讯地址，以书面形式通知代理机构。</w:t>
      </w:r>
    </w:p>
    <w:p w14:paraId="6F3861BC">
      <w:pPr>
        <w:shd w:val="clear"/>
        <w:spacing w:line="360" w:lineRule="auto"/>
        <w:ind w:firstLine="422" w:firstLineChars="200"/>
        <w:rPr>
          <w:rFonts w:hint="eastAsia" w:ascii="宋体" w:hAnsi="宋体" w:cs="宋体"/>
          <w:b/>
          <w:color w:val="auto"/>
          <w:szCs w:val="21"/>
          <w:highlight w:val="none"/>
        </w:rPr>
      </w:pPr>
      <w:bookmarkStart w:id="50" w:name="_Toc513029212"/>
      <w:bookmarkStart w:id="51" w:name="_Toc462564071"/>
      <w:bookmarkStart w:id="52" w:name="_Toc16938528"/>
      <w:bookmarkStart w:id="53" w:name="_Toc20823284"/>
      <w:r>
        <w:rPr>
          <w:rFonts w:hint="eastAsia" w:ascii="宋体" w:hAnsi="宋体" w:cs="宋体"/>
          <w:b/>
          <w:color w:val="auto"/>
          <w:szCs w:val="21"/>
          <w:highlight w:val="none"/>
        </w:rPr>
        <w:t>8、招标文件的修改</w:t>
      </w:r>
      <w:bookmarkEnd w:id="50"/>
      <w:bookmarkEnd w:id="51"/>
      <w:bookmarkEnd w:id="52"/>
      <w:bookmarkEnd w:id="53"/>
    </w:p>
    <w:p w14:paraId="1202BDEC">
      <w:pPr>
        <w:shd w:val="clear"/>
        <w:spacing w:line="360" w:lineRule="auto"/>
        <w:ind w:firstLine="420" w:firstLineChars="200"/>
        <w:rPr>
          <w:rFonts w:ascii="宋体" w:hAnsi="宋体" w:cs="宋体"/>
          <w:color w:val="auto"/>
          <w:szCs w:val="21"/>
          <w:highlight w:val="none"/>
        </w:rPr>
      </w:pPr>
      <w:bookmarkStart w:id="54" w:name="_Toc20823286"/>
      <w:bookmarkStart w:id="55" w:name="_Toc462564073"/>
      <w:bookmarkStart w:id="56" w:name="_Toc513029214"/>
      <w:bookmarkStart w:id="57" w:name="_Toc16938530"/>
      <w:r>
        <w:rPr>
          <w:rFonts w:hint="eastAsia" w:ascii="宋体" w:hAnsi="宋体" w:cs="宋体"/>
          <w:bCs/>
          <w:color w:val="auto"/>
          <w:szCs w:val="21"/>
          <w:highlight w:val="none"/>
        </w:rPr>
        <w:t>8.1</w:t>
      </w:r>
      <w:r>
        <w:rPr>
          <w:rFonts w:hint="eastAsia" w:ascii="宋体" w:hAnsi="宋体" w:cs="宋体"/>
          <w:color w:val="auto"/>
          <w:szCs w:val="21"/>
          <w:highlight w:val="none"/>
        </w:rPr>
        <w:t xml:space="preserve"> 在投标截止时间前，代理机构可以对招标文件进行修改。</w:t>
      </w:r>
    </w:p>
    <w:p w14:paraId="4EFD658A">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8.2代理机构在招标文件要求提交投标文件截止时间前，有权决定延长投标截止时间和开标时间，并在原采购信息发布媒体上发布变更公告。</w:t>
      </w:r>
    </w:p>
    <w:p w14:paraId="23390D8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8.3</w:t>
      </w:r>
      <w:r>
        <w:rPr>
          <w:rFonts w:hint="eastAsia" w:ascii="宋体" w:hAnsi="宋体" w:cs="宋体"/>
          <w:color w:val="auto"/>
          <w:szCs w:val="21"/>
          <w:highlight w:val="none"/>
        </w:rPr>
        <w:t>招标文件的修改将在“扬州维扬发展投资有限公司网站、扬州市公共资源交易平台邗江分中心国企采购栏目”公布，补充文件将作为招标文件的组成部分，并对投标人具有约束力。</w:t>
      </w:r>
    </w:p>
    <w:p w14:paraId="1D2C83B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8.4投标人应在投标截止时间前关注原采购信息发布媒体上有关本招标项目有无变更公告。</w:t>
      </w:r>
    </w:p>
    <w:p w14:paraId="3F49F11B">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9、投标文件的语言、度量衡单位</w:t>
      </w:r>
      <w:bookmarkEnd w:id="54"/>
      <w:bookmarkEnd w:id="55"/>
      <w:bookmarkEnd w:id="56"/>
      <w:bookmarkEnd w:id="57"/>
      <w:r>
        <w:rPr>
          <w:rFonts w:hint="eastAsia" w:ascii="宋体" w:hAnsi="宋体" w:cs="宋体"/>
          <w:b/>
          <w:color w:val="auto"/>
          <w:szCs w:val="21"/>
          <w:highlight w:val="none"/>
        </w:rPr>
        <w:t>、货币和编制</w:t>
      </w:r>
    </w:p>
    <w:p w14:paraId="1DD8834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9.1</w:t>
      </w:r>
      <w:r>
        <w:rPr>
          <w:rFonts w:hint="eastAsia" w:ascii="宋体" w:hAnsi="宋体" w:cs="宋体"/>
          <w:color w:val="auto"/>
          <w:szCs w:val="21"/>
          <w:highlight w:val="none"/>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14:paraId="75BDEEB7">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9.2</w:t>
      </w:r>
      <w:r>
        <w:rPr>
          <w:rFonts w:hint="eastAsia" w:ascii="宋体" w:hAnsi="宋体" w:cs="宋体"/>
          <w:color w:val="auto"/>
          <w:szCs w:val="21"/>
          <w:highlight w:val="none"/>
        </w:rPr>
        <w:t xml:space="preserve"> 除技术性能另有规定外，投标文件所使用的度量衡单位，均须采用国家法定计量单位。</w:t>
      </w:r>
    </w:p>
    <w:p w14:paraId="29198CD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3</w:t>
      </w:r>
      <w:r>
        <w:rPr>
          <w:rFonts w:hint="eastAsia" w:ascii="宋体" w:hAnsi="宋体" w:cs="宋体"/>
          <w:color w:val="auto"/>
          <w:szCs w:val="21"/>
          <w:highlight w:val="none"/>
        </w:rPr>
        <w:t>投标文件应字迹清楚、内容齐全、不得涂改。如有修改，修改处须有投标人加盖公章和法定代表人或其授权代表签字。</w:t>
      </w:r>
    </w:p>
    <w:p w14:paraId="48D16BDA">
      <w:pPr>
        <w:shd w:val="clear"/>
        <w:spacing w:line="360" w:lineRule="auto"/>
        <w:ind w:firstLine="422" w:firstLineChars="200"/>
        <w:rPr>
          <w:rFonts w:hint="eastAsia" w:ascii="宋体" w:hAnsi="宋体" w:cs="宋体"/>
          <w:b/>
          <w:color w:val="auto"/>
          <w:szCs w:val="21"/>
          <w:highlight w:val="none"/>
        </w:rPr>
      </w:pPr>
      <w:bookmarkStart w:id="58" w:name="_Toc462564074"/>
      <w:bookmarkStart w:id="59" w:name="_Toc20823287"/>
      <w:bookmarkStart w:id="60" w:name="_Toc16938531"/>
      <w:bookmarkStart w:id="61" w:name="_Toc513029215"/>
      <w:r>
        <w:rPr>
          <w:rFonts w:hint="eastAsia" w:ascii="宋体" w:hAnsi="宋体" w:cs="宋体"/>
          <w:b/>
          <w:color w:val="auto"/>
          <w:szCs w:val="21"/>
          <w:highlight w:val="none"/>
        </w:rPr>
        <w:t>10、投标文件构成</w:t>
      </w:r>
      <w:bookmarkEnd w:id="58"/>
      <w:bookmarkEnd w:id="59"/>
      <w:bookmarkEnd w:id="60"/>
      <w:bookmarkEnd w:id="61"/>
    </w:p>
    <w:p w14:paraId="45A757C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10.1</w:t>
      </w:r>
      <w:r>
        <w:rPr>
          <w:rFonts w:hint="eastAsia" w:ascii="宋体" w:hAnsi="宋体" w:cs="宋体"/>
          <w:color w:val="auto"/>
          <w:szCs w:val="21"/>
          <w:highlight w:val="none"/>
        </w:rPr>
        <w:t xml:space="preserve"> 投标人编写的投标文件应包括：</w:t>
      </w:r>
      <w:r>
        <w:rPr>
          <w:rFonts w:hint="eastAsia" w:ascii="宋体" w:hAnsi="宋体" w:cs="宋体"/>
          <w:bCs/>
          <w:color w:val="auto"/>
          <w:szCs w:val="21"/>
          <w:highlight w:val="none"/>
        </w:rPr>
        <w:t>资格证明文件、</w:t>
      </w:r>
      <w:r>
        <w:rPr>
          <w:rFonts w:hint="eastAsia" w:ascii="宋体" w:hAnsi="宋体" w:cs="宋体"/>
          <w:color w:val="auto"/>
          <w:szCs w:val="21"/>
          <w:highlight w:val="none"/>
        </w:rPr>
        <w:t>开标一览表、分项报价表、项目组人员配置、技术参数响应及偏离表、商务条款响应及偏离表、服务方案等部分。</w:t>
      </w:r>
    </w:p>
    <w:p w14:paraId="6588B4B1">
      <w:pPr>
        <w:shd w:val="clear"/>
        <w:spacing w:line="360" w:lineRule="auto"/>
        <w:ind w:firstLine="420" w:firstLineChars="200"/>
        <w:rPr>
          <w:rFonts w:hint="eastAsia" w:ascii="宋体" w:hAnsi="宋体" w:cs="宋体"/>
          <w:color w:val="auto"/>
          <w:szCs w:val="21"/>
          <w:highlight w:val="none"/>
        </w:rPr>
      </w:pPr>
      <w:bookmarkStart w:id="62" w:name="_Toc49090509"/>
      <w:bookmarkStart w:id="63" w:name="_Toc14577357"/>
      <w:bookmarkStart w:id="64" w:name="_Toc14577354"/>
      <w:bookmarkStart w:id="65" w:name="_Toc513029219"/>
      <w:bookmarkStart w:id="66" w:name="_Toc49090507"/>
      <w:bookmarkStart w:id="67" w:name="_Toc513029216"/>
      <w:r>
        <w:rPr>
          <w:rFonts w:hint="eastAsia" w:ascii="宋体" w:hAnsi="宋体" w:cs="宋体"/>
          <w:color w:val="auto"/>
          <w:szCs w:val="21"/>
          <w:highlight w:val="none"/>
        </w:rPr>
        <w:t>10.2 投标人应将投标文件按顺序装订成册，应逐页编码，不得跳页（包括但不限于证明材料、声明及产品介绍、彩页等），并编制投标文件资料目录。由于编排混乱导致投标文件被误读或查找不到，责任由投标人承担。</w:t>
      </w:r>
    </w:p>
    <w:p w14:paraId="16675FD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10.3 投标人应当根据招标文件要求编制投标文件，投标文件应对招标文件提出的要求和条件作出实质性响应，并在相应的投标文件中逐条标明满足与否。</w:t>
      </w:r>
    </w:p>
    <w:bookmarkEnd w:id="62"/>
    <w:bookmarkEnd w:id="63"/>
    <w:bookmarkEnd w:id="64"/>
    <w:bookmarkEnd w:id="65"/>
    <w:bookmarkEnd w:id="66"/>
    <w:bookmarkEnd w:id="67"/>
    <w:p w14:paraId="02A60A21">
      <w:pPr>
        <w:spacing w:line="360" w:lineRule="auto"/>
        <w:ind w:firstLine="422" w:firstLineChars="200"/>
        <w:rPr>
          <w:rFonts w:ascii="宋体" w:hAnsi="宋体" w:cs="宋体"/>
          <w:b/>
          <w:color w:val="auto"/>
          <w:szCs w:val="21"/>
          <w:highlight w:val="none"/>
        </w:rPr>
      </w:pPr>
      <w:bookmarkStart w:id="68" w:name="_Toc49090510"/>
      <w:bookmarkStart w:id="69" w:name="_Toc14577359"/>
      <w:r>
        <w:rPr>
          <w:rFonts w:hint="eastAsia" w:ascii="宋体" w:hAnsi="宋体" w:cs="宋体"/>
          <w:b/>
          <w:color w:val="auto"/>
          <w:szCs w:val="21"/>
          <w:highlight w:val="none"/>
        </w:rPr>
        <w:t>11、证明投标人资格及符合招标文件规定的文件</w:t>
      </w:r>
    </w:p>
    <w:p w14:paraId="1599C7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11.1投标人应按要求提交资信证明文件及符合招标文件规定的文件。</w:t>
      </w:r>
    </w:p>
    <w:p w14:paraId="1E9FC7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11.2投标人应提交证明其有资格参加投标和中标后有能力独立履行合同的文件。</w:t>
      </w:r>
    </w:p>
    <w:p w14:paraId="7FAFC7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11.3投标人除必须具有履行合同所需提供的货物以及服务的能力外，还必须具备相应的财务、技术方面的能力。</w:t>
      </w:r>
    </w:p>
    <w:p w14:paraId="02FE8C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11.4投标人应提交根据合同要求提供的证明产品质量合格以及符合招标文件规定的证明文件。</w:t>
      </w:r>
    </w:p>
    <w:p w14:paraId="3C7E8C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11.5证明投标人所提供货物与招标文件的要求相一致的文件可以是手册、图纸、文字资料和数据</w:t>
      </w:r>
      <w:r>
        <w:rPr>
          <w:rFonts w:hint="eastAsia" w:ascii="宋体" w:hAnsi="宋体" w:cs="宋体"/>
          <w:bCs/>
          <w:color w:val="auto"/>
          <w:szCs w:val="21"/>
          <w:highlight w:val="none"/>
        </w:rPr>
        <w:t>。</w:t>
      </w:r>
    </w:p>
    <w:p w14:paraId="248099BB">
      <w:pPr>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12、开标一览表和分项报价表</w:t>
      </w:r>
    </w:p>
    <w:p w14:paraId="48D2C03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12.1投标人应按照招标文件规定格式填报开标一览表、分项报价表。每项服务等只允许有一个报价，任何有选择的报价将不予接受。</w:t>
      </w:r>
    </w:p>
    <w:p w14:paraId="29CCA43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12.2招标报价采用总承包方式，投标人的报价应包括招标人需求的服务价格及各种规费、利润、税金及其他有关的为完成本项目发生的所有费用，招标文件中另有规定的除外。</w:t>
      </w:r>
    </w:p>
    <w:p w14:paraId="519CBD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12.3其它费用处理</w:t>
      </w:r>
    </w:p>
    <w:p w14:paraId="360103F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招标文件未列明，而投标人认为必需的费用也需列入报价。</w:t>
      </w:r>
    </w:p>
    <w:p w14:paraId="4C562EB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12.4投标货币</w:t>
      </w:r>
    </w:p>
    <w:p w14:paraId="115FEE3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投标文件中的单价和总价无特殊规定的采用人民币报价，以元为单位标注。招标文件中另有规定的按规定执行。</w:t>
      </w:r>
    </w:p>
    <w:p w14:paraId="3819060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13、技术参数响应及偏离表、商务条款响应及偏离表</w:t>
      </w:r>
    </w:p>
    <w:p w14:paraId="490F51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 对招标文件中的技术条款、商务条款要求逐项作出响应或偏离，并说明原因；</w:t>
      </w:r>
    </w:p>
    <w:p w14:paraId="32F64A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13.2 投标人认为需要的其他文件或说明。</w:t>
      </w:r>
    </w:p>
    <w:p w14:paraId="0078882B">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14、服务承诺及服务机构、人员的情况介绍</w:t>
      </w:r>
    </w:p>
    <w:p w14:paraId="71678A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14、1投标人的服务承诺应按不低于招标文件中商务要求的标准。</w:t>
      </w:r>
    </w:p>
    <w:p w14:paraId="0C6572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14、2提供投标人有关的服务管理制度、服务人员的数量、素质、技术水平及服务的反应能力。</w:t>
      </w:r>
    </w:p>
    <w:p w14:paraId="1F0D0193">
      <w:pPr>
        <w:shd w:val="clear"/>
        <w:spacing w:line="360" w:lineRule="auto"/>
        <w:ind w:firstLine="422" w:firstLineChars="200"/>
        <w:rPr>
          <w:rFonts w:hint="eastAsia" w:ascii="宋体" w:hAnsi="宋体" w:cs="宋体"/>
          <w:color w:val="auto"/>
          <w:highlight w:val="none"/>
        </w:rPr>
      </w:pPr>
      <w:r>
        <w:rPr>
          <w:rFonts w:ascii="宋体" w:hAnsi="宋体" w:cs="宋体"/>
          <w:b/>
          <w:color w:val="auto"/>
          <w:szCs w:val="21"/>
          <w:highlight w:val="none"/>
        </w:rPr>
        <w:t>15</w:t>
      </w:r>
      <w:r>
        <w:rPr>
          <w:rFonts w:hint="eastAsia" w:ascii="宋体" w:hAnsi="宋体" w:cs="宋体"/>
          <w:b/>
          <w:color w:val="auto"/>
          <w:szCs w:val="21"/>
          <w:highlight w:val="none"/>
        </w:rPr>
        <w:t>、投标函和开标一览表</w:t>
      </w:r>
    </w:p>
    <w:p w14:paraId="31E1D54D">
      <w:pPr>
        <w:shd w:val="clea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15.1</w:t>
      </w:r>
      <w:r>
        <w:rPr>
          <w:rFonts w:hint="eastAsia" w:ascii="宋体" w:hAnsi="宋体" w:cs="宋体"/>
          <w:color w:val="auto"/>
          <w:szCs w:val="21"/>
          <w:highlight w:val="none"/>
        </w:rPr>
        <w:t xml:space="preserve"> 投标人应按照招标文件中提供的格式完整、正确填写投标函、开标一览表。</w:t>
      </w:r>
    </w:p>
    <w:p w14:paraId="7D800E8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15.2</w:t>
      </w:r>
      <w:r>
        <w:rPr>
          <w:rFonts w:hint="eastAsia" w:ascii="宋体" w:hAnsi="宋体" w:cs="宋体"/>
          <w:color w:val="auto"/>
          <w:szCs w:val="21"/>
          <w:highlight w:val="none"/>
        </w:rPr>
        <w:t xml:space="preserve"> 开标一览表中的价格应与投标文件中投标配置与分项报价表中的价格一致，如不一致，不作为无效投标处理，但评标时按开标一览表中价格为准。</w:t>
      </w:r>
    </w:p>
    <w:bookmarkEnd w:id="68"/>
    <w:bookmarkEnd w:id="69"/>
    <w:p w14:paraId="08915FA6">
      <w:pPr>
        <w:spacing w:line="360" w:lineRule="auto"/>
        <w:ind w:firstLine="422" w:firstLineChars="200"/>
        <w:rPr>
          <w:rFonts w:ascii="宋体" w:hAnsi="宋体" w:cs="宋体"/>
          <w:b/>
          <w:color w:val="auto"/>
          <w:szCs w:val="21"/>
          <w:highlight w:val="none"/>
        </w:rPr>
      </w:pPr>
      <w:bookmarkStart w:id="70" w:name="_Toc20823298"/>
      <w:bookmarkStart w:id="71" w:name="_Toc513029226"/>
      <w:bookmarkStart w:id="72" w:name="_Toc16938542"/>
      <w:r>
        <w:rPr>
          <w:rFonts w:hint="eastAsia" w:ascii="宋体" w:hAnsi="宋体" w:cs="宋体"/>
          <w:b/>
          <w:color w:val="auto"/>
          <w:szCs w:val="21"/>
          <w:highlight w:val="none"/>
        </w:rPr>
        <w:t>16、投标保证金</w:t>
      </w:r>
    </w:p>
    <w:p w14:paraId="7EE4DBDF">
      <w:pPr>
        <w:spacing w:line="360" w:lineRule="auto"/>
        <w:ind w:firstLine="420" w:firstLineChars="200"/>
        <w:rPr>
          <w:rFonts w:ascii="宋体" w:hAnsi="宋体" w:cs="宋体"/>
          <w:bCs/>
          <w:color w:val="auto"/>
          <w:szCs w:val="21"/>
          <w:highlight w:val="none"/>
          <w:shd w:val="clear" w:color="auto" w:fill="FFC000"/>
        </w:rPr>
      </w:pPr>
      <w:r>
        <w:rPr>
          <w:rFonts w:hint="eastAsia" w:ascii="宋体" w:hAnsi="宋体" w:cs="宋体"/>
          <w:bCs/>
          <w:color w:val="auto"/>
          <w:szCs w:val="21"/>
          <w:highlight w:val="none"/>
        </w:rPr>
        <w:t>本项目无须缴纳投标保证金。</w:t>
      </w:r>
    </w:p>
    <w:p w14:paraId="431C39AD">
      <w:pPr>
        <w:shd w:val="clea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17</w:t>
      </w:r>
      <w:r>
        <w:rPr>
          <w:rFonts w:hint="eastAsia" w:ascii="宋体" w:hAnsi="宋体" w:cs="宋体"/>
          <w:b/>
          <w:color w:val="auto"/>
          <w:szCs w:val="21"/>
          <w:highlight w:val="none"/>
        </w:rPr>
        <w:t>、投标有效期</w:t>
      </w:r>
    </w:p>
    <w:p w14:paraId="6491FB28">
      <w:pPr>
        <w:shd w:val="clea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17.1</w:t>
      </w:r>
      <w:r>
        <w:rPr>
          <w:rFonts w:hint="eastAsia" w:ascii="宋体" w:hAnsi="宋体" w:cs="宋体"/>
          <w:bCs/>
          <w:color w:val="auto"/>
          <w:szCs w:val="21"/>
          <w:highlight w:val="none"/>
        </w:rPr>
        <w:t xml:space="preserve"> 投标有效期为代理机构规定的开标之日起</w:t>
      </w:r>
      <w:r>
        <w:rPr>
          <w:rFonts w:hint="eastAsia" w:ascii="宋体" w:hAnsi="宋体" w:cs="宋体"/>
          <w:b/>
          <w:color w:val="auto"/>
          <w:szCs w:val="21"/>
          <w:highlight w:val="none"/>
          <w:u w:val="single"/>
        </w:rPr>
        <w:t>六十（60）天</w:t>
      </w:r>
      <w:r>
        <w:rPr>
          <w:rFonts w:hint="eastAsia" w:ascii="宋体" w:hAnsi="宋体" w:cs="宋体"/>
          <w:bCs/>
          <w:color w:val="auto"/>
          <w:szCs w:val="21"/>
          <w:highlight w:val="none"/>
        </w:rPr>
        <w:t>。投标有效期比规定短的将被视为非响应性投标而予以拒绝。</w:t>
      </w:r>
    </w:p>
    <w:p w14:paraId="2E25FEFC">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17.2</w:t>
      </w:r>
      <w:r>
        <w:rPr>
          <w:rFonts w:hint="eastAsia" w:ascii="宋体" w:hAnsi="宋体" w:cs="宋体"/>
          <w:bCs/>
          <w:color w:val="auto"/>
          <w:szCs w:val="21"/>
          <w:highlight w:val="none"/>
        </w:rPr>
        <w:t xml:space="preserve"> 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cs="宋体"/>
          <w:color w:val="auto"/>
          <w:szCs w:val="21"/>
          <w:highlight w:val="none"/>
        </w:rPr>
        <w:t>；</w:t>
      </w:r>
      <w:r>
        <w:rPr>
          <w:rFonts w:hint="eastAsia" w:ascii="宋体" w:hAnsi="宋体" w:cs="宋体"/>
          <w:bCs/>
          <w:color w:val="auto"/>
          <w:szCs w:val="21"/>
          <w:highlight w:val="none"/>
        </w:rPr>
        <w:t>同意延长投标有效期的投标人既不能要求也不允许修改其投标文件。</w:t>
      </w:r>
      <w:r>
        <w:rPr>
          <w:rFonts w:hint="eastAsia" w:ascii="宋体" w:hAnsi="宋体" w:cs="宋体"/>
          <w:color w:val="auto"/>
          <w:szCs w:val="21"/>
          <w:highlight w:val="none"/>
        </w:rPr>
        <w:t>同时受投标有效期约束的所有权利与义务均延长至新的有效期</w:t>
      </w:r>
      <w:r>
        <w:rPr>
          <w:rFonts w:hint="eastAsia" w:ascii="宋体" w:hAnsi="宋体" w:cs="宋体"/>
          <w:bCs/>
          <w:color w:val="auto"/>
          <w:szCs w:val="21"/>
          <w:highlight w:val="none"/>
        </w:rPr>
        <w:t>。</w:t>
      </w:r>
    </w:p>
    <w:p w14:paraId="3CCB15D6">
      <w:pPr>
        <w:shd w:val="clear"/>
        <w:spacing w:line="360" w:lineRule="auto"/>
        <w:ind w:firstLine="422" w:firstLineChars="200"/>
        <w:rPr>
          <w:rFonts w:hint="eastAsia" w:ascii="宋体" w:hAnsi="宋体" w:cs="宋体"/>
          <w:b/>
          <w:color w:val="auto"/>
          <w:szCs w:val="21"/>
          <w:highlight w:val="none"/>
        </w:rPr>
      </w:pPr>
      <w:bookmarkStart w:id="73" w:name="_Toc14577361"/>
      <w:bookmarkStart w:id="74" w:name="_Toc49090512"/>
      <w:r>
        <w:rPr>
          <w:rFonts w:ascii="宋体" w:hAnsi="宋体" w:cs="宋体"/>
          <w:b/>
          <w:color w:val="auto"/>
          <w:szCs w:val="21"/>
          <w:highlight w:val="none"/>
        </w:rPr>
        <w:t>18</w:t>
      </w:r>
      <w:r>
        <w:rPr>
          <w:rFonts w:hint="eastAsia" w:ascii="宋体" w:hAnsi="宋体" w:cs="宋体"/>
          <w:b/>
          <w:color w:val="auto"/>
          <w:szCs w:val="21"/>
          <w:highlight w:val="none"/>
        </w:rPr>
        <w:t>、投标文件份数和签署</w:t>
      </w:r>
      <w:bookmarkEnd w:id="73"/>
      <w:bookmarkEnd w:id="74"/>
    </w:p>
    <w:p w14:paraId="07944ACD">
      <w:pPr>
        <w:shd w:val="clea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18.1</w:t>
      </w:r>
      <w:r>
        <w:rPr>
          <w:rFonts w:hint="eastAsia" w:ascii="宋体" w:hAnsi="宋体" w:cs="宋体"/>
          <w:b/>
          <w:color w:val="auto"/>
          <w:szCs w:val="21"/>
          <w:highlight w:val="none"/>
        </w:rPr>
        <w:t xml:space="preserve"> </w:t>
      </w:r>
      <w:r>
        <w:rPr>
          <w:rFonts w:hint="eastAsia" w:ascii="宋体" w:hAnsi="宋体" w:cs="宋体"/>
          <w:bCs/>
          <w:color w:val="auto"/>
          <w:szCs w:val="21"/>
          <w:highlight w:val="none"/>
        </w:rPr>
        <w:t>投标人应严格按照招标公告和招标文件要求的份数准备投标文件，每份投标文件须清楚地标明“正本”或“副本”字样。一旦正本和副本不符，以正本为准。</w:t>
      </w:r>
    </w:p>
    <w:p w14:paraId="3AC820EA">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18.2</w:t>
      </w:r>
      <w:r>
        <w:rPr>
          <w:rFonts w:hint="eastAsia" w:ascii="宋体" w:hAnsi="宋体" w:cs="宋体"/>
          <w:b/>
          <w:color w:val="auto"/>
          <w:szCs w:val="21"/>
          <w:highlight w:val="none"/>
        </w:rPr>
        <w:t xml:space="preserve"> </w:t>
      </w:r>
      <w:r>
        <w:rPr>
          <w:rFonts w:hint="eastAsia" w:ascii="宋体" w:hAnsi="宋体" w:cs="宋体"/>
          <w:color w:val="auto"/>
          <w:szCs w:val="21"/>
          <w:highlight w:val="none"/>
        </w:rPr>
        <w:t>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w:t>
      </w:r>
    </w:p>
    <w:p w14:paraId="232C290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w:t>
      </w:r>
      <w:r>
        <w:rPr>
          <w:rFonts w:hint="eastAsia" w:ascii="宋体" w:hAnsi="宋体" w:cs="宋体"/>
          <w:bCs/>
          <w:color w:val="auto"/>
          <w:szCs w:val="21"/>
          <w:highlight w:val="none"/>
        </w:rPr>
        <w:t xml:space="preserve"> 除投标人对错处做必要修改外，投标文件不得行间插字、涂改或增删。如有修改错漏处，必须由法定代表人或授权代表签字或盖章。</w:t>
      </w:r>
    </w:p>
    <w:p w14:paraId="3F8F926E">
      <w:pPr>
        <w:shd w:val="clear"/>
        <w:spacing w:line="360" w:lineRule="auto"/>
        <w:ind w:firstLine="422" w:firstLineChars="200"/>
        <w:rPr>
          <w:rFonts w:ascii="宋体" w:hAnsi="宋体" w:cs="宋体"/>
          <w:b/>
          <w:color w:val="auto"/>
          <w:szCs w:val="21"/>
          <w:highlight w:val="none"/>
        </w:rPr>
      </w:pPr>
      <w:bookmarkStart w:id="75" w:name="_Toc462564084"/>
      <w:bookmarkStart w:id="76" w:name="_Toc20823297"/>
      <w:bookmarkStart w:id="77" w:name="_Toc513029225"/>
      <w:bookmarkStart w:id="78" w:name="_Toc16938541"/>
      <w:r>
        <w:rPr>
          <w:rFonts w:hint="eastAsia" w:ascii="宋体" w:hAnsi="宋体" w:cs="宋体"/>
          <w:b/>
          <w:color w:val="auto"/>
          <w:szCs w:val="21"/>
          <w:highlight w:val="none"/>
        </w:rPr>
        <w:t>19、投标文件的密封和标记</w:t>
      </w:r>
      <w:bookmarkEnd w:id="75"/>
      <w:bookmarkEnd w:id="76"/>
      <w:bookmarkEnd w:id="77"/>
      <w:bookmarkEnd w:id="78"/>
    </w:p>
    <w:p w14:paraId="522DFDD6">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19.1</w:t>
      </w:r>
      <w:r>
        <w:rPr>
          <w:rFonts w:hint="eastAsia" w:ascii="宋体" w:hAnsi="宋体" w:cs="宋体"/>
          <w:bCs/>
          <w:color w:val="auto"/>
          <w:szCs w:val="21"/>
          <w:highlight w:val="none"/>
        </w:rPr>
        <w:t>投标人应将投标文件正本和所有副本密封，不论投标人中标与否，投标文件均不退回。</w:t>
      </w:r>
    </w:p>
    <w:p w14:paraId="23542913">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19.2</w:t>
      </w:r>
      <w:r>
        <w:rPr>
          <w:rFonts w:hint="eastAsia" w:ascii="宋体" w:hAnsi="宋体" w:cs="宋体"/>
          <w:bCs/>
          <w:color w:val="auto"/>
          <w:szCs w:val="21"/>
          <w:highlight w:val="none"/>
        </w:rPr>
        <w:t xml:space="preserve"> 密封的投标文件应：</w:t>
      </w:r>
    </w:p>
    <w:p w14:paraId="5DB6BE73">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19.2.1注明投标人名称，如因标注不清而产生的后果由投标人自负。按招标公告中注明的地址送达；</w:t>
      </w:r>
    </w:p>
    <w:p w14:paraId="01825CBD">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19.2.2注明投标项目名称、标书编号及包号。</w:t>
      </w:r>
    </w:p>
    <w:p w14:paraId="28A496EC">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19.2.3</w:t>
      </w:r>
      <w:r>
        <w:rPr>
          <w:rFonts w:hint="eastAsia" w:ascii="宋体" w:hAnsi="宋体" w:cs="宋体"/>
          <w:bCs/>
          <w:color w:val="auto"/>
          <w:szCs w:val="21"/>
          <w:highlight w:val="none"/>
        </w:rPr>
        <w:t>未按要求密封和加写标记，代理机构对误投或过早启封概不负责。对由此造成提前开封的投标文件，代理机构将予以拒绝，作无效投标处理。</w:t>
      </w:r>
    </w:p>
    <w:p w14:paraId="13BAE52E">
      <w:pPr>
        <w:shd w:val="clear"/>
        <w:spacing w:line="360" w:lineRule="auto"/>
        <w:ind w:firstLine="422" w:firstLineChars="200"/>
        <w:rPr>
          <w:rFonts w:hint="eastAsia" w:ascii="宋体" w:hAnsi="宋体" w:cs="宋体"/>
          <w:b/>
          <w:color w:val="auto"/>
          <w:szCs w:val="21"/>
          <w:highlight w:val="none"/>
        </w:rPr>
      </w:pPr>
      <w:r>
        <w:rPr>
          <w:rFonts w:ascii="宋体" w:hAnsi="宋体" w:cs="宋体"/>
          <w:b/>
          <w:color w:val="auto"/>
          <w:szCs w:val="21"/>
          <w:highlight w:val="none"/>
        </w:rPr>
        <w:t>20</w:t>
      </w:r>
      <w:r>
        <w:rPr>
          <w:rFonts w:hint="eastAsia" w:ascii="宋体" w:hAnsi="宋体" w:cs="宋体"/>
          <w:b/>
          <w:color w:val="auto"/>
          <w:szCs w:val="21"/>
          <w:highlight w:val="none"/>
        </w:rPr>
        <w:t>、投标截止日期</w:t>
      </w:r>
      <w:bookmarkEnd w:id="70"/>
      <w:bookmarkEnd w:id="71"/>
      <w:bookmarkEnd w:id="72"/>
    </w:p>
    <w:p w14:paraId="4874772B">
      <w:pPr>
        <w:shd w:val="clear"/>
        <w:spacing w:line="360" w:lineRule="auto"/>
        <w:ind w:firstLine="420" w:firstLineChars="200"/>
        <w:rPr>
          <w:rFonts w:hint="eastAsia" w:ascii="宋体" w:hAnsi="宋体" w:cs="宋体"/>
          <w:bCs/>
          <w:color w:val="auto"/>
          <w:szCs w:val="21"/>
          <w:highlight w:val="none"/>
        </w:rPr>
      </w:pPr>
      <w:r>
        <w:rPr>
          <w:rFonts w:ascii="宋体" w:hAnsi="宋体" w:cs="宋体"/>
          <w:color w:val="auto"/>
          <w:szCs w:val="21"/>
          <w:highlight w:val="none"/>
        </w:rPr>
        <w:t>20</w:t>
      </w:r>
      <w:r>
        <w:rPr>
          <w:rFonts w:hint="eastAsia" w:ascii="宋体" w:hAnsi="宋体" w:cs="宋体"/>
          <w:color w:val="auto"/>
          <w:szCs w:val="21"/>
          <w:highlight w:val="none"/>
        </w:rPr>
        <w:t>.1</w:t>
      </w:r>
      <w:r>
        <w:rPr>
          <w:rFonts w:hint="eastAsia" w:ascii="宋体" w:hAnsi="宋体" w:cs="宋体"/>
          <w:bCs/>
          <w:color w:val="auto"/>
          <w:szCs w:val="21"/>
          <w:highlight w:val="none"/>
        </w:rPr>
        <w:t xml:space="preserve"> 代理机构收到投标文件的时间不得迟于招标公告中规定的截止时间。</w:t>
      </w:r>
    </w:p>
    <w:p w14:paraId="0C4B4995">
      <w:pPr>
        <w:shd w:val="clear"/>
        <w:spacing w:line="360" w:lineRule="auto"/>
        <w:ind w:firstLine="420" w:firstLineChars="200"/>
        <w:rPr>
          <w:rFonts w:hint="eastAsia" w:ascii="宋体" w:hAnsi="宋体" w:cs="宋体"/>
          <w:bCs/>
          <w:color w:val="auto"/>
          <w:szCs w:val="21"/>
          <w:highlight w:val="none"/>
        </w:rPr>
      </w:pPr>
      <w:r>
        <w:rPr>
          <w:rFonts w:ascii="宋体" w:hAnsi="宋体" w:cs="宋体"/>
          <w:color w:val="auto"/>
          <w:szCs w:val="21"/>
          <w:highlight w:val="none"/>
        </w:rPr>
        <w:t>20</w:t>
      </w:r>
      <w:r>
        <w:rPr>
          <w:rFonts w:hint="eastAsia" w:ascii="宋体" w:hAnsi="宋体" w:cs="宋体"/>
          <w:color w:val="auto"/>
          <w:szCs w:val="21"/>
          <w:highlight w:val="none"/>
        </w:rPr>
        <w:t>.2</w:t>
      </w:r>
      <w:r>
        <w:rPr>
          <w:rFonts w:hint="eastAsia" w:ascii="宋体" w:hAnsi="宋体" w:cs="宋体"/>
          <w:bCs/>
          <w:color w:val="auto"/>
          <w:szCs w:val="21"/>
          <w:highlight w:val="none"/>
        </w:rPr>
        <w:t xml:space="preserve"> 代理机构可以通过修改招标文件酌情延长投标截止日期，在此情况下，投标人的所有权利和义务以及投标人受制的截止日期均应以延长后新的截止日期为准。</w:t>
      </w:r>
    </w:p>
    <w:p w14:paraId="7F51EA61">
      <w:pPr>
        <w:shd w:val="clear"/>
        <w:spacing w:line="360" w:lineRule="auto"/>
        <w:ind w:firstLine="422" w:firstLineChars="200"/>
        <w:rPr>
          <w:rFonts w:hint="eastAsia" w:ascii="宋体" w:hAnsi="宋体" w:cs="宋体"/>
          <w:b/>
          <w:color w:val="auto"/>
          <w:szCs w:val="21"/>
          <w:highlight w:val="none"/>
        </w:rPr>
      </w:pPr>
      <w:bookmarkStart w:id="79" w:name="_Toc16938543"/>
      <w:bookmarkStart w:id="80" w:name="_Toc513029227"/>
      <w:bookmarkStart w:id="81" w:name="_Toc20823299"/>
      <w:r>
        <w:rPr>
          <w:rFonts w:hint="eastAsia" w:ascii="宋体" w:hAnsi="宋体" w:cs="宋体"/>
          <w:b/>
          <w:color w:val="auto"/>
          <w:szCs w:val="21"/>
          <w:highlight w:val="none"/>
        </w:rPr>
        <w:t>2</w:t>
      </w:r>
      <w:r>
        <w:rPr>
          <w:rFonts w:ascii="宋体" w:hAnsi="宋体" w:cs="宋体"/>
          <w:b/>
          <w:color w:val="auto"/>
          <w:szCs w:val="21"/>
          <w:highlight w:val="none"/>
        </w:rPr>
        <w:t>1</w:t>
      </w:r>
      <w:r>
        <w:rPr>
          <w:rFonts w:hint="eastAsia" w:ascii="宋体" w:hAnsi="宋体" w:cs="宋体"/>
          <w:b/>
          <w:color w:val="auto"/>
          <w:szCs w:val="21"/>
          <w:highlight w:val="none"/>
        </w:rPr>
        <w:t>、迟交的投标文件</w:t>
      </w:r>
      <w:bookmarkEnd w:id="79"/>
      <w:bookmarkEnd w:id="80"/>
      <w:bookmarkEnd w:id="81"/>
    </w:p>
    <w:p w14:paraId="4ED00730">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s="宋体"/>
          <w:bCs/>
          <w:color w:val="auto"/>
          <w:szCs w:val="21"/>
          <w:highlight w:val="none"/>
        </w:rPr>
        <w:t xml:space="preserve"> 代理机构拒绝接收在其规定的投标截止时间后递交的任何投标文件。</w:t>
      </w:r>
    </w:p>
    <w:p w14:paraId="5E8BF3B4">
      <w:pPr>
        <w:shd w:val="clear"/>
        <w:spacing w:line="360" w:lineRule="auto"/>
        <w:ind w:firstLine="422" w:firstLineChars="200"/>
        <w:rPr>
          <w:rFonts w:hint="eastAsia" w:ascii="宋体" w:hAnsi="宋体" w:cs="宋体"/>
          <w:b/>
          <w:color w:val="auto"/>
          <w:szCs w:val="21"/>
          <w:highlight w:val="none"/>
        </w:rPr>
      </w:pPr>
      <w:bookmarkStart w:id="82" w:name="_Toc16938544"/>
      <w:bookmarkStart w:id="83" w:name="_Toc20823300"/>
      <w:bookmarkStart w:id="84" w:name="_Toc513029228"/>
      <w:r>
        <w:rPr>
          <w:rFonts w:hint="eastAsia" w:ascii="宋体" w:hAnsi="宋体" w:cs="宋体"/>
          <w:b/>
          <w:color w:val="auto"/>
          <w:szCs w:val="21"/>
          <w:highlight w:val="none"/>
        </w:rPr>
        <w:t>2</w:t>
      </w:r>
      <w:r>
        <w:rPr>
          <w:rFonts w:ascii="宋体" w:hAnsi="宋体" w:cs="宋体"/>
          <w:b/>
          <w:color w:val="auto"/>
          <w:szCs w:val="21"/>
          <w:highlight w:val="none"/>
        </w:rPr>
        <w:t>2</w:t>
      </w:r>
      <w:r>
        <w:rPr>
          <w:rFonts w:hint="eastAsia" w:ascii="宋体" w:hAnsi="宋体" w:cs="宋体"/>
          <w:b/>
          <w:color w:val="auto"/>
          <w:szCs w:val="21"/>
          <w:highlight w:val="none"/>
        </w:rPr>
        <w:t>、投标文件的修改和撤回</w:t>
      </w:r>
      <w:bookmarkEnd w:id="82"/>
      <w:bookmarkEnd w:id="83"/>
      <w:bookmarkEnd w:id="84"/>
    </w:p>
    <w:p w14:paraId="1DB13FB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w:t>
      </w:r>
      <w:r>
        <w:rPr>
          <w:rFonts w:hint="eastAsia" w:ascii="宋体" w:hAnsi="宋体" w:cs="宋体"/>
          <w:color w:val="auto"/>
          <w:szCs w:val="21"/>
          <w:highlight w:val="none"/>
        </w:rPr>
        <w:t>.1</w:t>
      </w:r>
      <w:r>
        <w:rPr>
          <w:rFonts w:hint="eastAsia" w:ascii="宋体" w:hAnsi="宋体" w:cs="宋体"/>
          <w:bCs/>
          <w:color w:val="auto"/>
          <w:szCs w:val="21"/>
          <w:highlight w:val="none"/>
        </w:rPr>
        <w:t xml:space="preserve"> 投标人在递交投标文件后，可以修改或撤回其投标文件，但这种修改和撤回，必须在规定的投标截止时间前，以书面形式</w:t>
      </w:r>
      <w:r>
        <w:rPr>
          <w:rFonts w:hint="eastAsia" w:ascii="宋体" w:hAnsi="宋体" w:cs="宋体"/>
          <w:color w:val="auto"/>
          <w:szCs w:val="21"/>
          <w:highlight w:val="none"/>
        </w:rPr>
        <w:t>通知代理机构，否则，代理机构将拒绝。</w:t>
      </w:r>
    </w:p>
    <w:p w14:paraId="6B30658E">
      <w:pPr>
        <w:shd w:val="clea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w:t>
      </w:r>
      <w:r>
        <w:rPr>
          <w:rFonts w:hint="eastAsia" w:ascii="宋体" w:hAnsi="宋体" w:cs="宋体"/>
          <w:color w:val="auto"/>
          <w:szCs w:val="21"/>
          <w:highlight w:val="none"/>
        </w:rPr>
        <w:t>.2</w:t>
      </w:r>
      <w:r>
        <w:rPr>
          <w:rFonts w:hint="eastAsia" w:ascii="宋体" w:hAnsi="宋体" w:cs="宋体"/>
          <w:bCs/>
          <w:color w:val="auto"/>
          <w:szCs w:val="21"/>
          <w:highlight w:val="none"/>
        </w:rPr>
        <w:t xml:space="preserve"> 投标人的修改或撤回文件应按规定进行编制、密封、标记和发送，并应在封套上加注“修改”或“撤回”字样。</w:t>
      </w:r>
      <w:r>
        <w:rPr>
          <w:rFonts w:ascii="宋体" w:hAnsi="宋体"/>
          <w:color w:val="auto"/>
          <w:szCs w:val="21"/>
          <w:highlight w:val="none"/>
        </w:rPr>
        <w:t>上述补充或修改若涉及投标报价，必须注明</w:t>
      </w:r>
      <w:r>
        <w:rPr>
          <w:rFonts w:hint="eastAsia" w:ascii="宋体" w:hAnsi="宋体"/>
          <w:color w:val="auto"/>
          <w:szCs w:val="21"/>
          <w:highlight w:val="none"/>
        </w:rPr>
        <w:t>“</w:t>
      </w:r>
      <w:r>
        <w:rPr>
          <w:rFonts w:ascii="宋体" w:hAnsi="宋体"/>
          <w:color w:val="auto"/>
          <w:szCs w:val="21"/>
          <w:highlight w:val="none"/>
        </w:rPr>
        <w:t>最后唯一报价</w:t>
      </w:r>
      <w:r>
        <w:rPr>
          <w:rFonts w:hint="eastAsia" w:ascii="宋体" w:hAnsi="宋体"/>
          <w:color w:val="auto"/>
          <w:szCs w:val="21"/>
          <w:highlight w:val="none"/>
        </w:rPr>
        <w:t>”</w:t>
      </w:r>
      <w:r>
        <w:rPr>
          <w:rFonts w:ascii="宋体" w:hAnsi="宋体"/>
          <w:color w:val="auto"/>
          <w:szCs w:val="21"/>
          <w:highlight w:val="none"/>
        </w:rPr>
        <w:t>字样，否则将视为有选择的报价。修改文件必须在投标截止时间前送达代理机构。</w:t>
      </w:r>
    </w:p>
    <w:p w14:paraId="180A0B18">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w:t>
      </w:r>
      <w:r>
        <w:rPr>
          <w:rFonts w:hint="eastAsia" w:ascii="宋体" w:hAnsi="宋体" w:cs="宋体"/>
          <w:color w:val="auto"/>
          <w:szCs w:val="21"/>
          <w:highlight w:val="none"/>
        </w:rPr>
        <w:t>.3</w:t>
      </w:r>
      <w:r>
        <w:rPr>
          <w:rFonts w:hint="eastAsia" w:ascii="宋体" w:hAnsi="宋体" w:cs="宋体"/>
          <w:bCs/>
          <w:color w:val="auto"/>
          <w:szCs w:val="21"/>
          <w:highlight w:val="none"/>
        </w:rPr>
        <w:t xml:space="preserve"> 在投标截止时间之后，投标人不得对其投标文件作任何修改。</w:t>
      </w:r>
    </w:p>
    <w:p w14:paraId="57EF3A1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2</w:t>
      </w:r>
      <w:r>
        <w:rPr>
          <w:rFonts w:hint="eastAsia" w:ascii="宋体" w:hAnsi="宋体" w:cs="宋体"/>
          <w:color w:val="auto"/>
          <w:szCs w:val="21"/>
          <w:highlight w:val="none"/>
        </w:rPr>
        <w:t>.4</w:t>
      </w:r>
      <w:r>
        <w:rPr>
          <w:rFonts w:hint="eastAsia" w:ascii="宋体" w:hAnsi="宋体" w:cs="宋体"/>
          <w:bCs/>
          <w:color w:val="auto"/>
          <w:szCs w:val="21"/>
          <w:highlight w:val="none"/>
        </w:rPr>
        <w:t xml:space="preserve"> 在投标截止时间至招标文件中规定的投标有效期满之间的这段时间内，投标人不得撤回其投标。</w:t>
      </w:r>
    </w:p>
    <w:p w14:paraId="5361D5D0">
      <w:pPr>
        <w:shd w:val="clear"/>
        <w:spacing w:line="360" w:lineRule="auto"/>
        <w:ind w:firstLine="422" w:firstLineChars="200"/>
        <w:rPr>
          <w:rFonts w:hint="eastAsia" w:ascii="宋体" w:hAnsi="宋体" w:cs="宋体"/>
          <w:b/>
          <w:color w:val="auto"/>
          <w:szCs w:val="21"/>
          <w:highlight w:val="none"/>
        </w:rPr>
      </w:pPr>
      <w:bookmarkStart w:id="85" w:name="_Toc16938546"/>
      <w:bookmarkStart w:id="86" w:name="_Toc513029230"/>
      <w:bookmarkStart w:id="87" w:name="_Toc20823302"/>
      <w:r>
        <w:rPr>
          <w:rFonts w:hint="eastAsia" w:ascii="宋体" w:hAnsi="宋体" w:cs="宋体"/>
          <w:b/>
          <w:color w:val="auto"/>
          <w:szCs w:val="21"/>
          <w:highlight w:val="none"/>
        </w:rPr>
        <w:t>2</w:t>
      </w:r>
      <w:r>
        <w:rPr>
          <w:rFonts w:ascii="宋体" w:hAnsi="宋体" w:cs="宋体"/>
          <w:b/>
          <w:color w:val="auto"/>
          <w:szCs w:val="21"/>
          <w:highlight w:val="none"/>
        </w:rPr>
        <w:t>3</w:t>
      </w:r>
      <w:r>
        <w:rPr>
          <w:rFonts w:hint="eastAsia" w:ascii="宋体" w:hAnsi="宋体" w:cs="宋体"/>
          <w:b/>
          <w:color w:val="auto"/>
          <w:szCs w:val="21"/>
          <w:highlight w:val="none"/>
        </w:rPr>
        <w:t>、开标</w:t>
      </w:r>
      <w:bookmarkEnd w:id="85"/>
      <w:bookmarkEnd w:id="86"/>
      <w:bookmarkEnd w:id="87"/>
    </w:p>
    <w:p w14:paraId="20A77FE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3</w:t>
      </w:r>
      <w:r>
        <w:rPr>
          <w:rFonts w:hint="eastAsia" w:ascii="宋体" w:hAnsi="宋体" w:cs="宋体"/>
          <w:color w:val="auto"/>
          <w:szCs w:val="21"/>
          <w:highlight w:val="none"/>
        </w:rPr>
        <w:t>.1</w:t>
      </w:r>
      <w:r>
        <w:rPr>
          <w:rFonts w:hint="eastAsia" w:ascii="宋体" w:hAnsi="宋体" w:cs="宋体"/>
          <w:bCs/>
          <w:color w:val="auto"/>
          <w:szCs w:val="21"/>
          <w:highlight w:val="none"/>
        </w:rPr>
        <w:t xml:space="preserve"> 代理机构将在招标公告中规定的时间和地点组织公开开标</w:t>
      </w:r>
      <w:r>
        <w:rPr>
          <w:rFonts w:hint="eastAsia" w:ascii="宋体" w:hAnsi="宋体" w:cs="宋体"/>
          <w:color w:val="auto"/>
          <w:szCs w:val="21"/>
          <w:highlight w:val="none"/>
        </w:rPr>
        <w:t>。投标人应委派携带有效证件的代表准时参加，参加开标的代表需签名以证明其出席。投标人未参加开标的，视同认可开标结果。</w:t>
      </w:r>
    </w:p>
    <w:p w14:paraId="68E43EC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2</w:t>
      </w:r>
      <w:r>
        <w:rPr>
          <w:rFonts w:ascii="宋体" w:hAnsi="宋体" w:cs="宋体"/>
          <w:bCs/>
          <w:color w:val="auto"/>
          <w:szCs w:val="21"/>
          <w:highlight w:val="none"/>
        </w:rPr>
        <w:t>3</w:t>
      </w:r>
      <w:r>
        <w:rPr>
          <w:rFonts w:hint="eastAsia" w:ascii="宋体" w:hAnsi="宋体" w:cs="宋体"/>
          <w:bCs/>
          <w:color w:val="auto"/>
          <w:szCs w:val="21"/>
          <w:highlight w:val="none"/>
        </w:rPr>
        <w:t>.2</w:t>
      </w:r>
      <w:r>
        <w:rPr>
          <w:rFonts w:hint="eastAsia" w:ascii="宋体" w:hAnsi="宋体" w:cs="宋体"/>
          <w:color w:val="auto"/>
          <w:szCs w:val="21"/>
          <w:highlight w:val="none"/>
        </w:rPr>
        <w:t>开标仪式由代理机构组织。</w:t>
      </w:r>
    </w:p>
    <w:p w14:paraId="47313CE5">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3</w:t>
      </w:r>
      <w:r>
        <w:rPr>
          <w:rFonts w:hint="eastAsia" w:ascii="宋体" w:hAnsi="宋体" w:cs="宋体"/>
          <w:color w:val="auto"/>
          <w:szCs w:val="21"/>
          <w:highlight w:val="none"/>
        </w:rPr>
        <w:t>.3</w:t>
      </w:r>
      <w:r>
        <w:rPr>
          <w:rFonts w:hint="eastAsia" w:ascii="宋体" w:hAnsi="宋体" w:cs="宋体"/>
          <w:b/>
          <w:color w:val="auto"/>
          <w:szCs w:val="21"/>
          <w:highlight w:val="none"/>
        </w:rPr>
        <w:t xml:space="preserve"> </w:t>
      </w:r>
      <w:r>
        <w:rPr>
          <w:rFonts w:hint="eastAsia" w:ascii="宋体" w:hAnsi="宋体" w:cs="宋体"/>
          <w:bCs/>
          <w:color w:val="auto"/>
          <w:szCs w:val="21"/>
          <w:highlight w:val="none"/>
        </w:rPr>
        <w:t>按照规定同意撤回的投标文件将不予开封。</w:t>
      </w:r>
    </w:p>
    <w:p w14:paraId="79A6AF9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3</w:t>
      </w:r>
      <w:r>
        <w:rPr>
          <w:rFonts w:hint="eastAsia" w:ascii="宋体" w:hAnsi="宋体" w:cs="宋体"/>
          <w:color w:val="auto"/>
          <w:szCs w:val="21"/>
          <w:highlight w:val="none"/>
        </w:rPr>
        <w:t xml:space="preserve">.4 </w:t>
      </w:r>
      <w:r>
        <w:rPr>
          <w:rFonts w:ascii="宋体" w:hAnsi="宋体"/>
          <w:color w:val="auto"/>
          <w:szCs w:val="21"/>
          <w:highlight w:val="none"/>
        </w:rPr>
        <w:t>开标时请投标人推选的代表查验投标文件密封情况，投标登记簿上作纪录无误后，代理机构当众拆封宣读每份投标文件中</w:t>
      </w:r>
      <w:r>
        <w:rPr>
          <w:rFonts w:hint="eastAsia" w:ascii="宋体" w:hAnsi="宋体"/>
          <w:color w:val="auto"/>
          <w:szCs w:val="21"/>
          <w:highlight w:val="none"/>
        </w:rPr>
        <w:t>“</w:t>
      </w:r>
      <w:r>
        <w:rPr>
          <w:rFonts w:ascii="宋体" w:hAnsi="宋体"/>
          <w:color w:val="auto"/>
          <w:szCs w:val="21"/>
          <w:highlight w:val="none"/>
        </w:rPr>
        <w:t>开标一览表</w:t>
      </w:r>
      <w:r>
        <w:rPr>
          <w:rFonts w:hint="eastAsia" w:ascii="宋体" w:hAnsi="宋体"/>
          <w:color w:val="auto"/>
          <w:szCs w:val="21"/>
          <w:highlight w:val="none"/>
        </w:rPr>
        <w:t>”</w:t>
      </w:r>
      <w:r>
        <w:rPr>
          <w:rFonts w:ascii="宋体" w:hAnsi="宋体"/>
          <w:color w:val="auto"/>
          <w:szCs w:val="21"/>
          <w:highlight w:val="none"/>
        </w:rPr>
        <w:t>的内容，未列入开标一览表的内容一律不在开标时宣读。开标时未宣读的投标报价信息，不得在评标时采用。</w:t>
      </w:r>
    </w:p>
    <w:p w14:paraId="42DB1DF4">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3</w:t>
      </w:r>
      <w:r>
        <w:rPr>
          <w:rFonts w:hint="eastAsia" w:ascii="宋体" w:hAnsi="宋体" w:cs="宋体"/>
          <w:color w:val="auto"/>
          <w:szCs w:val="21"/>
          <w:highlight w:val="none"/>
        </w:rPr>
        <w:t>.5 代理机构将指定专人负责开标记录并存档备查，各投标人需仔细核对开标纪录相关内容并签字确认。</w:t>
      </w:r>
    </w:p>
    <w:p w14:paraId="436D4A1D">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23.6 投标人在报价时不允许采用选择性报价，否则将被视为无效投标。</w:t>
      </w:r>
    </w:p>
    <w:p w14:paraId="0B3AA784">
      <w:pPr>
        <w:shd w:val="clear"/>
        <w:spacing w:line="360" w:lineRule="auto"/>
        <w:ind w:firstLine="422" w:firstLineChars="200"/>
        <w:rPr>
          <w:rFonts w:hint="eastAsia" w:ascii="宋体" w:hAnsi="宋体" w:cs="宋体"/>
          <w:b/>
          <w:color w:val="auto"/>
          <w:szCs w:val="21"/>
          <w:highlight w:val="none"/>
        </w:rPr>
      </w:pPr>
      <w:bookmarkStart w:id="88" w:name="_Toc16938547"/>
      <w:bookmarkStart w:id="89" w:name="_Toc20823303"/>
      <w:bookmarkStart w:id="90" w:name="_Toc513029231"/>
      <w:r>
        <w:rPr>
          <w:rFonts w:ascii="宋体" w:hAnsi="宋体" w:cs="宋体"/>
          <w:b/>
          <w:color w:val="auto"/>
          <w:szCs w:val="21"/>
          <w:highlight w:val="none"/>
        </w:rPr>
        <w:t>24</w:t>
      </w:r>
      <w:r>
        <w:rPr>
          <w:rFonts w:hint="eastAsia" w:ascii="宋体" w:hAnsi="宋体" w:cs="宋体"/>
          <w:b/>
          <w:color w:val="auto"/>
          <w:szCs w:val="21"/>
          <w:highlight w:val="none"/>
        </w:rPr>
        <w:t>、评标委员会</w:t>
      </w:r>
    </w:p>
    <w:p w14:paraId="51410649">
      <w:pPr>
        <w:shd w:val="clear"/>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 xml:space="preserve">  24.1</w:t>
      </w:r>
      <w:r>
        <w:rPr>
          <w:rFonts w:hint="eastAsia" w:ascii="宋体" w:hAnsi="宋体" w:cs="宋体"/>
          <w:b/>
          <w:color w:val="auto"/>
          <w:szCs w:val="21"/>
          <w:highlight w:val="none"/>
        </w:rPr>
        <w:t xml:space="preserve"> </w:t>
      </w:r>
      <w:r>
        <w:rPr>
          <w:rFonts w:hint="eastAsia" w:ascii="宋体" w:hAnsi="宋体" w:cs="宋体"/>
          <w:color w:val="auto"/>
          <w:szCs w:val="21"/>
          <w:highlight w:val="none"/>
        </w:rPr>
        <w:t>开标后，代理机构将立即组织评标委员会（以下简称评委会）进行评标。</w:t>
      </w:r>
    </w:p>
    <w:p w14:paraId="2D8C92C5">
      <w:pPr>
        <w:shd w:val="clea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 xml:space="preserve"> 24.2</w:t>
      </w:r>
      <w:r>
        <w:rPr>
          <w:rFonts w:ascii="宋体" w:hAnsi="宋体" w:cs="宋体"/>
          <w:color w:val="auto"/>
          <w:szCs w:val="21"/>
          <w:highlight w:val="none"/>
        </w:rPr>
        <w:t xml:space="preserve"> </w:t>
      </w:r>
      <w:r>
        <w:rPr>
          <w:rFonts w:hint="eastAsia" w:ascii="宋体" w:hAnsi="宋体" w:cs="宋体"/>
          <w:color w:val="auto"/>
          <w:szCs w:val="21"/>
          <w:highlight w:val="none"/>
        </w:rPr>
        <w:t>评委会由有关技术、经济等方面的专家组成。</w:t>
      </w:r>
    </w:p>
    <w:p w14:paraId="717729C9">
      <w:pPr>
        <w:shd w:val="clea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 xml:space="preserve">  24.3</w:t>
      </w:r>
      <w:r>
        <w:rPr>
          <w:rFonts w:ascii="宋体" w:hAnsi="宋体" w:cs="宋体"/>
          <w:color w:val="auto"/>
          <w:szCs w:val="21"/>
          <w:highlight w:val="none"/>
        </w:rPr>
        <w:t xml:space="preserve"> </w:t>
      </w:r>
      <w:r>
        <w:rPr>
          <w:rFonts w:hint="eastAsia" w:ascii="宋体" w:hAnsi="宋体" w:cs="宋体"/>
          <w:color w:val="auto"/>
          <w:szCs w:val="21"/>
          <w:highlight w:val="none"/>
        </w:rPr>
        <w:t>评委会独立工作，负责评审所有投标文件并确定中标候选人。</w:t>
      </w:r>
    </w:p>
    <w:p w14:paraId="18534C9C">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25、评标过程的保密与公正</w:t>
      </w:r>
    </w:p>
    <w:bookmarkEnd w:id="88"/>
    <w:bookmarkEnd w:id="89"/>
    <w:bookmarkEnd w:id="90"/>
    <w:p w14:paraId="442A41FA">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25.1</w:t>
      </w:r>
      <w:r>
        <w:rPr>
          <w:rFonts w:hint="eastAsia" w:ascii="宋体" w:hAnsi="宋体" w:cs="宋体"/>
          <w:bCs/>
          <w:color w:val="auto"/>
          <w:szCs w:val="21"/>
          <w:highlight w:val="none"/>
        </w:rPr>
        <w:t>公开开标后，直至签订合同之日止，凡是与审查、澄清、评价和比较投标的有关资料以及授标建议等，采购人、评委、代理机构工作人员均不得向投标人或与评标无关的其他人员透露。</w:t>
      </w:r>
    </w:p>
    <w:p w14:paraId="525D002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25.2在评标过程中，投标人不得以任何行为影响评标过程，否则其投标文件将被作为无效投标文件。</w:t>
      </w:r>
    </w:p>
    <w:p w14:paraId="6EB9CFF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25.3 在评标期间，代理机构将设专门工作人员与投标人联系。</w:t>
      </w:r>
    </w:p>
    <w:p w14:paraId="1507ED38">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25.4 代理机构和评委会不向未中标的投标人解释未中标原因，也不公布评标过程中的相关细节。</w:t>
      </w:r>
    </w:p>
    <w:p w14:paraId="01E1564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25.5 采用综合评分法的项目，未中标的投标人如需了解自己的评审得分及排序情况，可于中标结果公告期限届满之日起7个工作日内，由其法定代表人或授权代表携带本人有效身份证件到代理机构进行查询，逾期将不予受理。</w:t>
      </w:r>
    </w:p>
    <w:p w14:paraId="41AB6D82">
      <w:pPr>
        <w:shd w:val="clear"/>
        <w:spacing w:line="360" w:lineRule="auto"/>
        <w:ind w:firstLine="422" w:firstLineChars="200"/>
        <w:rPr>
          <w:rFonts w:hint="eastAsia" w:ascii="宋体" w:hAnsi="宋体" w:cs="宋体"/>
          <w:b/>
          <w:color w:val="auto"/>
          <w:szCs w:val="21"/>
          <w:highlight w:val="none"/>
        </w:rPr>
      </w:pPr>
      <w:bookmarkStart w:id="91" w:name="_Toc513029232"/>
      <w:bookmarkStart w:id="92" w:name="_Toc20823304"/>
      <w:bookmarkStart w:id="93" w:name="_Toc16938548"/>
      <w:r>
        <w:rPr>
          <w:rFonts w:ascii="宋体" w:hAnsi="宋体" w:cs="宋体"/>
          <w:b/>
          <w:color w:val="auto"/>
          <w:szCs w:val="21"/>
          <w:highlight w:val="none"/>
        </w:rPr>
        <w:t>26</w:t>
      </w:r>
      <w:r>
        <w:rPr>
          <w:rFonts w:hint="eastAsia" w:ascii="宋体" w:hAnsi="宋体" w:cs="宋体"/>
          <w:b/>
          <w:color w:val="auto"/>
          <w:szCs w:val="21"/>
          <w:highlight w:val="none"/>
        </w:rPr>
        <w:t>、投标的澄清</w:t>
      </w:r>
      <w:bookmarkEnd w:id="91"/>
      <w:bookmarkEnd w:id="92"/>
      <w:bookmarkEnd w:id="93"/>
    </w:p>
    <w:p w14:paraId="545D2087">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26.1评标期间，为有助于对投标文件的审查、评价和比较，评委会有权以书面形式要求投标人对其投标文件进行澄清，但并非对每个投标人都作澄清要求。</w:t>
      </w:r>
    </w:p>
    <w:p w14:paraId="351ECCDE">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0DE46EBA">
      <w:pPr>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26.3 接到评委会澄清要求的投标人如未按规定做出澄清，其风险由投标人自行承担。</w:t>
      </w:r>
    </w:p>
    <w:p w14:paraId="64838DE8">
      <w:pPr>
        <w:shd w:val="clear"/>
        <w:spacing w:line="360" w:lineRule="auto"/>
        <w:ind w:firstLine="422" w:firstLineChars="200"/>
        <w:rPr>
          <w:rFonts w:hint="eastAsia" w:ascii="宋体" w:hAnsi="宋体" w:cs="宋体"/>
          <w:b/>
          <w:color w:val="auto"/>
          <w:szCs w:val="21"/>
          <w:highlight w:val="none"/>
        </w:rPr>
      </w:pPr>
      <w:bookmarkStart w:id="94" w:name="_Toc20823305"/>
      <w:bookmarkStart w:id="95" w:name="_Toc513029233"/>
      <w:bookmarkStart w:id="96" w:name="_Toc16938549"/>
      <w:r>
        <w:rPr>
          <w:rFonts w:ascii="宋体" w:hAnsi="宋体" w:cs="宋体"/>
          <w:b/>
          <w:color w:val="auto"/>
          <w:szCs w:val="21"/>
          <w:highlight w:val="none"/>
        </w:rPr>
        <w:t>27</w:t>
      </w:r>
      <w:r>
        <w:rPr>
          <w:rFonts w:hint="eastAsia" w:ascii="宋体" w:hAnsi="宋体" w:cs="宋体"/>
          <w:b/>
          <w:color w:val="auto"/>
          <w:szCs w:val="21"/>
          <w:highlight w:val="none"/>
        </w:rPr>
        <w:t>、对投标文件的初审</w:t>
      </w:r>
      <w:bookmarkEnd w:id="94"/>
      <w:bookmarkEnd w:id="95"/>
      <w:bookmarkEnd w:id="96"/>
    </w:p>
    <w:p w14:paraId="35F5B042">
      <w:pPr>
        <w:shd w:val="clea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27.1</w:t>
      </w:r>
      <w:r>
        <w:rPr>
          <w:rFonts w:hint="eastAsia" w:ascii="宋体" w:hAnsi="宋体" w:cs="宋体"/>
          <w:bCs/>
          <w:color w:val="auto"/>
          <w:szCs w:val="21"/>
          <w:highlight w:val="none"/>
        </w:rPr>
        <w:t>投标文件初审分为资格检查和符合性检查。</w:t>
      </w:r>
    </w:p>
    <w:p w14:paraId="4EADF8C3">
      <w:pPr>
        <w:shd w:val="clear"/>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27.1.1</w:t>
      </w:r>
      <w:r>
        <w:rPr>
          <w:rFonts w:hint="eastAsia" w:ascii="宋体" w:hAnsi="宋体" w:cs="宋体"/>
          <w:bCs/>
          <w:color w:val="auto"/>
          <w:szCs w:val="21"/>
          <w:highlight w:val="none"/>
        </w:rPr>
        <w:t>资格审查：依据法律法规和招标文件的规定，对投标文件中的资</w:t>
      </w:r>
      <w:r>
        <w:rPr>
          <w:rFonts w:hint="eastAsia" w:ascii="宋体" w:hAnsi="宋体" w:cs="宋体"/>
          <w:bCs/>
          <w:color w:val="auto"/>
          <w:szCs w:val="21"/>
          <w:highlight w:val="none"/>
          <w:lang w:val="en-US" w:eastAsia="zh-CN"/>
        </w:rPr>
        <w:t>信</w:t>
      </w:r>
      <w:r>
        <w:rPr>
          <w:rFonts w:hint="eastAsia" w:ascii="宋体" w:hAnsi="宋体" w:cs="宋体"/>
          <w:bCs/>
          <w:color w:val="auto"/>
          <w:szCs w:val="21"/>
          <w:highlight w:val="none"/>
        </w:rPr>
        <w:t>证明文件进行审查。并将审查结论以书面形式向评委会反馈。</w:t>
      </w:r>
    </w:p>
    <w:p w14:paraId="4C259B81">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27.1.2</w:t>
      </w:r>
      <w:r>
        <w:rPr>
          <w:rFonts w:hint="eastAsia" w:ascii="宋体" w:hAnsi="宋体" w:cs="宋体"/>
          <w:bCs/>
          <w:color w:val="auto"/>
          <w:szCs w:val="21"/>
          <w:highlight w:val="none"/>
        </w:rPr>
        <w:t>符合性检查：依据招标文件的规定，由评委会从投标文件的有效性、完整性和对招标文件的响应程度进行审查，以确定是否对招标文件的实质性要求作出响应。</w:t>
      </w:r>
    </w:p>
    <w:p w14:paraId="1FBE9726">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27.2在详细评标之前，评委会将首先审查每份投标文件是否实质性响应了招标文件的要求。实质性响应的投标应该是与招标文件要求的全部条款、条件和规格相符，没有重大偏离或保留的投标。</w:t>
      </w:r>
    </w:p>
    <w:p w14:paraId="7AF09607">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cs="宋体"/>
          <w:bCs/>
          <w:color w:val="auto"/>
          <w:szCs w:val="21"/>
          <w:highlight w:val="none"/>
        </w:rPr>
        <w:t>评委决定投标文件的响应性只根据投标文件本身的内容，而不寻求外部的证据。</w:t>
      </w:r>
    </w:p>
    <w:p w14:paraId="7C571AB1">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27.3</w:t>
      </w:r>
      <w:r>
        <w:rPr>
          <w:rFonts w:hint="eastAsia" w:ascii="宋体" w:hAnsi="宋体" w:cs="宋体"/>
          <w:bCs/>
          <w:color w:val="auto"/>
          <w:szCs w:val="21"/>
          <w:highlight w:val="none"/>
        </w:rPr>
        <w:t>如果投标文件实质上没有响应招标文件的要求，评委会将予以拒绝，投标人不得通过修改或撤销不合要求的偏离或保留而使其投标成为实质性响应的投标。</w:t>
      </w:r>
    </w:p>
    <w:p w14:paraId="43498922">
      <w:pPr>
        <w:shd w:val="clear"/>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27.4</w:t>
      </w:r>
      <w:r>
        <w:rPr>
          <w:rFonts w:hint="eastAsia" w:ascii="宋体" w:hAnsi="宋体" w:cs="宋体"/>
          <w:bCs/>
          <w:color w:val="auto"/>
          <w:szCs w:val="21"/>
          <w:highlight w:val="none"/>
        </w:rPr>
        <w:t>评委会将对确定为实质性响应的投标进行进一步审核，看其是否有计算上或累加上的算术错误，对开标一览表内容修正错误的原则如下：</w:t>
      </w:r>
    </w:p>
    <w:p w14:paraId="3D445534">
      <w:pPr>
        <w:shd w:val="clea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（1）投标文件中开标一览表内容与投标文件中相应内容不一致的，以开标一览表为准。</w:t>
      </w:r>
    </w:p>
    <w:p w14:paraId="5C17889B">
      <w:pPr>
        <w:shd w:val="clea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（2）投标文件、“开标一览表”中报价的大写金额与小写金额不一致的，以大写金额为准。</w:t>
      </w:r>
    </w:p>
    <w:p w14:paraId="7A28F18F">
      <w:pPr>
        <w:shd w:val="clea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（3）单价金额小数点或者百分比有明显错位的，以开标一览表的总价为准，并修改单价。</w:t>
      </w:r>
    </w:p>
    <w:p w14:paraId="091DFD11">
      <w:pPr>
        <w:shd w:val="clea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（4）总价金额与按单价汇总金额不一致的，以单价金额计算结果为准。</w:t>
      </w:r>
    </w:p>
    <w:p w14:paraId="3A85EEA0">
      <w:pPr>
        <w:shd w:val="clea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同时出现两种以上错误的，按照前款规定的顺序修正。对不同文字文本投标文件的解释发生异议的，以中文文本为准。</w:t>
      </w:r>
    </w:p>
    <w:p w14:paraId="1A686A14">
      <w:pPr>
        <w:shd w:val="clear"/>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27.5</w:t>
      </w:r>
      <w:r>
        <w:rPr>
          <w:rFonts w:hint="eastAsia" w:ascii="宋体" w:hAnsi="宋体" w:cs="宋体"/>
          <w:bCs/>
          <w:color w:val="auto"/>
          <w:szCs w:val="21"/>
          <w:highlight w:val="none"/>
        </w:rPr>
        <w:t>评委会将按上述修正错误的方法调整投标文件中的投标报价，调整后的价格应对投标人具有约束力。如果投标人不接受修正后的价格，则其投标将被拒绝。</w:t>
      </w:r>
    </w:p>
    <w:p w14:paraId="609D0BFB">
      <w:pPr>
        <w:shd w:val="clear"/>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27.6</w:t>
      </w:r>
      <w:r>
        <w:rPr>
          <w:rFonts w:hint="eastAsia" w:ascii="宋体" w:hAnsi="宋体" w:cs="宋体"/>
          <w:bCs/>
          <w:color w:val="auto"/>
          <w:szCs w:val="21"/>
          <w:highlight w:val="none"/>
        </w:rPr>
        <w:t>评委会将允许修正投标文件中不构成重大偏离的、微小的、非正规的、不一致的或不规则的地方，但这些修改不能影响任何投标人相应的名次排列，否则不允许修正。</w:t>
      </w:r>
    </w:p>
    <w:p w14:paraId="7C4D98E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27.7</w:t>
      </w:r>
      <w:bookmarkStart w:id="97" w:name="_Toc16938550"/>
      <w:bookmarkStart w:id="98" w:name="_Toc513029234"/>
      <w:bookmarkStart w:id="99" w:name="_Toc20823306"/>
      <w:bookmarkStart w:id="100" w:name="_Toc513029235"/>
      <w:bookmarkStart w:id="101" w:name="_Toc16938551"/>
      <w:bookmarkStart w:id="102" w:name="_Toc20823307"/>
      <w:r>
        <w:rPr>
          <w:rFonts w:hint="eastAsia" w:ascii="宋体" w:hAnsi="宋体" w:cs="宋体"/>
          <w:color w:val="auto"/>
          <w:szCs w:val="21"/>
          <w:highlight w:val="none"/>
        </w:rPr>
        <w:t>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14:paraId="160EE7D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14:paraId="4F49590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非单一产品采购项目，招标文件中将载明其中的核心产品。多家投标人提供的核心产品品牌相同的，按前两款规定处理。</w:t>
      </w:r>
    </w:p>
    <w:p w14:paraId="6810BA7F">
      <w:pPr>
        <w:shd w:val="clear"/>
        <w:spacing w:line="360" w:lineRule="auto"/>
        <w:ind w:firstLine="422" w:firstLineChars="200"/>
        <w:rPr>
          <w:rFonts w:ascii="宋体" w:hAnsi="宋体" w:cs="宋体"/>
          <w:color w:val="auto"/>
          <w:kern w:val="0"/>
          <w:szCs w:val="21"/>
          <w:highlight w:val="none"/>
        </w:rPr>
      </w:pPr>
      <w:r>
        <w:rPr>
          <w:rFonts w:ascii="宋体" w:hAnsi="宋体" w:cs="宋体"/>
          <w:b/>
          <w:color w:val="auto"/>
          <w:szCs w:val="21"/>
          <w:highlight w:val="none"/>
        </w:rPr>
        <w:t>28</w:t>
      </w:r>
      <w:r>
        <w:rPr>
          <w:rFonts w:hint="eastAsia" w:ascii="宋体" w:hAnsi="宋体" w:cs="宋体"/>
          <w:b/>
          <w:color w:val="auto"/>
          <w:szCs w:val="21"/>
          <w:highlight w:val="none"/>
        </w:rPr>
        <w:t>、</w:t>
      </w:r>
      <w:bookmarkEnd w:id="97"/>
      <w:bookmarkEnd w:id="98"/>
      <w:bookmarkEnd w:id="99"/>
      <w:r>
        <w:rPr>
          <w:rFonts w:hint="eastAsia" w:ascii="宋体" w:hAnsi="宋体" w:cs="宋体"/>
          <w:b/>
          <w:color w:val="auto"/>
          <w:szCs w:val="21"/>
          <w:highlight w:val="none"/>
        </w:rPr>
        <w:t>无效投标、废标及投标人不足三家的处理</w:t>
      </w:r>
    </w:p>
    <w:p w14:paraId="0078B1E0">
      <w:pPr>
        <w:shd w:val="clea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28.1无效投标条款</w:t>
      </w:r>
    </w:p>
    <w:p w14:paraId="3680BB14">
      <w:pPr>
        <w:shd w:val="clea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28.1.1未按照招标文件规定要求密封、签署、盖章的；</w:t>
      </w:r>
    </w:p>
    <w:p w14:paraId="1EE4E287">
      <w:pPr>
        <w:shd w:val="clea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28.1.2投标人在报价时采用选择性报价；</w:t>
      </w:r>
    </w:p>
    <w:p w14:paraId="66A5477D">
      <w:pPr>
        <w:shd w:val="clea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28.1.3投标人不具备招标文件中规定资格要求的；</w:t>
      </w:r>
    </w:p>
    <w:p w14:paraId="777A82F1">
      <w:pPr>
        <w:shd w:val="clea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28.1.4投标人的报价超过了采购预算或最高</w:t>
      </w:r>
      <w:r>
        <w:rPr>
          <w:rFonts w:hint="eastAsia" w:ascii="宋体" w:hAnsi="宋体" w:cs="宋体"/>
          <w:bCs/>
          <w:color w:val="auto"/>
          <w:szCs w:val="21"/>
          <w:highlight w:val="none"/>
          <w:lang w:val="en-US" w:eastAsia="zh-CN"/>
        </w:rPr>
        <w:t>投标</w:t>
      </w:r>
      <w:r>
        <w:rPr>
          <w:rFonts w:hint="eastAsia" w:ascii="宋体" w:hAnsi="宋体" w:cs="宋体"/>
          <w:bCs/>
          <w:color w:val="auto"/>
          <w:szCs w:val="21"/>
          <w:highlight w:val="none"/>
        </w:rPr>
        <w:t>限价的；</w:t>
      </w:r>
    </w:p>
    <w:p w14:paraId="2F312A57">
      <w:pPr>
        <w:shd w:val="clea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28.1.5未通过符合性检查的；</w:t>
      </w:r>
    </w:p>
    <w:p w14:paraId="56FD6600">
      <w:pPr>
        <w:shd w:val="clear"/>
        <w:spacing w:line="360" w:lineRule="auto"/>
        <w:ind w:firstLine="315" w:firstLineChars="150"/>
        <w:jc w:val="left"/>
        <w:rPr>
          <w:rFonts w:hint="eastAsia" w:ascii="宋体" w:hAnsi="宋体" w:cs="宋体"/>
          <w:bCs/>
          <w:color w:val="auto"/>
          <w:szCs w:val="21"/>
          <w:highlight w:val="none"/>
        </w:rPr>
      </w:pPr>
      <w:r>
        <w:rPr>
          <w:rFonts w:hint="eastAsia" w:ascii="宋体" w:hAnsi="宋体" w:cs="宋体"/>
          <w:bCs/>
          <w:color w:val="auto"/>
          <w:szCs w:val="21"/>
          <w:highlight w:val="none"/>
        </w:rPr>
        <w:t xml:space="preserve"> 28.1.6不符合招标文件中规定的其他实质性要求和条件的（</w:t>
      </w:r>
      <w:r>
        <w:rPr>
          <w:rFonts w:hint="eastAsia" w:ascii="宋体" w:hAnsi="宋体" w:cs="宋体"/>
          <w:bCs/>
          <w:i/>
          <w:color w:val="auto"/>
          <w:szCs w:val="21"/>
          <w:highlight w:val="none"/>
          <w:u w:val="single"/>
        </w:rPr>
        <w:t>本招标文件中斜体且有下划线部分为实质性要求和条件，包括但不限于该范围）；</w:t>
      </w:r>
    </w:p>
    <w:p w14:paraId="1CDEE61D">
      <w:pPr>
        <w:shd w:val="clea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28.1.7投标人被 “信用中国”网站（www.creditchina.gov.cn）、“中国政府采购网”(www.ccgp.gov.cn)列入失信被执行人或重大税收违法案件当事人名单或政府采购严重失信行为记录名单。</w:t>
      </w:r>
    </w:p>
    <w:p w14:paraId="21EF68C7">
      <w:pPr>
        <w:shd w:val="clea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28.1.8投标文件含有采购人不能接受的附加条件的。</w:t>
      </w:r>
    </w:p>
    <w:p w14:paraId="1A5CB640">
      <w:pPr>
        <w:shd w:val="clea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28.1.9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14:paraId="08A33F99">
      <w:pPr>
        <w:shd w:val="clea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28.1.10其他法律、法规及本招标文件规定的属无效投标的情形。</w:t>
      </w:r>
    </w:p>
    <w:p w14:paraId="4988B82C">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28.2废标条款：                                                                                                                                                                                                                                                                                                                                                                                                                                                                                                                                                                                                                                                                                                                                                                                                                                                                                                                                                                                                                                                                                                                                                                                                                                                                                                                                                                                                                                                                         </w:t>
      </w:r>
    </w:p>
    <w:p w14:paraId="5DE7B445">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28.2.1符合专业条件的供应商或者对招标文件作实质响应的供应商不足三家的；</w:t>
      </w:r>
    </w:p>
    <w:p w14:paraId="147793E8">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28.2.2投标人的报价均超过采购预算或最高限价；</w:t>
      </w:r>
    </w:p>
    <w:p w14:paraId="29C02111">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28.2.3出现影响采购公正的违法、违规行为的；</w:t>
      </w:r>
    </w:p>
    <w:p w14:paraId="18509191">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28.2.4因重大变故，采购任务取消的；</w:t>
      </w:r>
    </w:p>
    <w:p w14:paraId="37B57CF1">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28.2.5评标委员会认定招标文件存在歧义、重大缺陷导致评审工作无法进行。</w:t>
      </w:r>
    </w:p>
    <w:p w14:paraId="222246F7">
      <w:pPr>
        <w:shd w:val="clea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28.3投标截止时间结束后参加投标的投标人不足三家或者通过资格审查或符合性审查的投标人不足三家的，除采购任务取消情形外，按照以下方式处理：</w:t>
      </w:r>
    </w:p>
    <w:p w14:paraId="5A8F2439">
      <w:pPr>
        <w:shd w:val="clea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28.3.1招标文件存在不合理条款或者招标程序不符合规定的，由采购人、代理机构改正后依法重新招标；</w:t>
      </w:r>
    </w:p>
    <w:p w14:paraId="6759A358">
      <w:pPr>
        <w:shd w:val="clear"/>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28.3.2 招标文件没有不合理条款、招标程序符合规定，需要采用其他采购方式采购的，采购人应当依法报财政部门批准。</w:t>
      </w:r>
    </w:p>
    <w:bookmarkEnd w:id="100"/>
    <w:bookmarkEnd w:id="101"/>
    <w:bookmarkEnd w:id="102"/>
    <w:p w14:paraId="7269E037">
      <w:pPr>
        <w:shd w:val="clear"/>
        <w:spacing w:line="360" w:lineRule="auto"/>
        <w:ind w:firstLine="422" w:firstLineChars="200"/>
        <w:rPr>
          <w:rFonts w:hint="eastAsia" w:ascii="宋体" w:hAnsi="宋体" w:cs="宋体"/>
          <w:b/>
          <w:color w:val="auto"/>
          <w:szCs w:val="21"/>
          <w:highlight w:val="none"/>
        </w:rPr>
      </w:pPr>
      <w:bookmarkStart w:id="103" w:name="_Toc513029238"/>
      <w:bookmarkStart w:id="104" w:name="_Toc20823310"/>
      <w:bookmarkStart w:id="105" w:name="_Toc16938554"/>
      <w:r>
        <w:rPr>
          <w:rFonts w:hint="eastAsia" w:ascii="宋体" w:hAnsi="宋体" w:cs="宋体"/>
          <w:b/>
          <w:color w:val="auto"/>
          <w:szCs w:val="21"/>
          <w:highlight w:val="none"/>
        </w:rPr>
        <w:t>29、</w:t>
      </w:r>
      <w:bookmarkEnd w:id="103"/>
      <w:r>
        <w:rPr>
          <w:rFonts w:hint="eastAsia" w:ascii="宋体" w:hAnsi="宋体" w:cs="宋体"/>
          <w:b/>
          <w:color w:val="auto"/>
          <w:szCs w:val="21"/>
          <w:highlight w:val="none"/>
        </w:rPr>
        <w:t>确定</w:t>
      </w:r>
      <w:bookmarkEnd w:id="104"/>
      <w:bookmarkEnd w:id="105"/>
      <w:r>
        <w:rPr>
          <w:rFonts w:hint="eastAsia" w:ascii="宋体" w:hAnsi="宋体" w:cs="宋体"/>
          <w:b/>
          <w:color w:val="auto"/>
          <w:szCs w:val="21"/>
          <w:highlight w:val="none"/>
        </w:rPr>
        <w:t>中标单位</w:t>
      </w:r>
    </w:p>
    <w:p w14:paraId="17543B5C">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29.1评委会根据本招标文件规定评标方法与评标标准向采购人推荐出中标候选人。</w:t>
      </w:r>
    </w:p>
    <w:p w14:paraId="567D5CC6">
      <w:pPr>
        <w:shd w:val="clea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29.2 采购人应根据评委会推荐的中标候选人确定中标人。</w:t>
      </w:r>
    </w:p>
    <w:p w14:paraId="4F52CC2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29.3</w:t>
      </w:r>
      <w:r>
        <w:rPr>
          <w:rFonts w:hint="eastAsia" w:ascii="宋体" w:hAnsi="宋体" w:cs="宋体"/>
          <w:color w:val="auto"/>
          <w:szCs w:val="21"/>
          <w:highlight w:val="none"/>
        </w:rPr>
        <w:t>代理机构将在“扬州维扬发展投资有限公司网站、扬州市公共资源交易平台邗江分中心国企采购栏目”发布中标公告，公告期限为1个工作日。</w:t>
      </w:r>
    </w:p>
    <w:p w14:paraId="465AE7D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29.4若有充分证据证明，中标人出现下列情况之一的，一经查实，将被取消中标资格：</w:t>
      </w:r>
    </w:p>
    <w:p w14:paraId="635734BE">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29.4.1提供虚假材料谋取中标的；</w:t>
      </w:r>
    </w:p>
    <w:p w14:paraId="50C8D3C5">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29.4.2向采购人、代理机构行贿或者提供其他不正当利益的；</w:t>
      </w:r>
    </w:p>
    <w:p w14:paraId="04C85EF3">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29.4.3恶意竞争，投标总报价明显低于其自身合理成本且又无法提供证明的；</w:t>
      </w:r>
    </w:p>
    <w:p w14:paraId="5AEBA3D0">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29.4.4属于本文件规定的无效条件，但在评标过程中又未被评委会发现的；</w:t>
      </w:r>
    </w:p>
    <w:p w14:paraId="71A5842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29.4.5与采购人或者其他投标人串通投标的；</w:t>
      </w:r>
    </w:p>
    <w:p w14:paraId="02C616F9">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29.4.6采取不正当手段诋毁、排挤其他供应商的；</w:t>
      </w:r>
    </w:p>
    <w:p w14:paraId="39433554">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29.4.7不符合法律、法规的规定的。</w:t>
      </w:r>
      <w:bookmarkStart w:id="106" w:name="_Toc200451960"/>
    </w:p>
    <w:p w14:paraId="5D3AC71A">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29.5有下列情形之一的，视为投标人串通投标，投标无效：</w:t>
      </w:r>
    </w:p>
    <w:p w14:paraId="6487A93D">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29.5.1不同投标人的投标文件由同一单位或者个人编制。</w:t>
      </w:r>
    </w:p>
    <w:p w14:paraId="5F8A051B">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29.5.2不同投标人委托同一单位或者个人办理投标事宜。</w:t>
      </w:r>
    </w:p>
    <w:p w14:paraId="56626E0C">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29.5.3 不同投标人的投标文件载明的项目管理成员或者联系人员为同一人。</w:t>
      </w:r>
    </w:p>
    <w:p w14:paraId="1646EE8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29.5.4不同投标人的投标文件异常一致或者投标报价呈规律性差异。</w:t>
      </w:r>
    </w:p>
    <w:p w14:paraId="323C4D7E">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29.5.5不同投标人的投标文件相互混装。</w:t>
      </w:r>
    </w:p>
    <w:p w14:paraId="13DC4CDF">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30、质疑处理</w:t>
      </w:r>
      <w:bookmarkEnd w:id="106"/>
    </w:p>
    <w:p w14:paraId="48B46F1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30.1投标人认为采购文件、采购过程和中标结果使自己的权益受到损害的，可以在知道或应知其权益受到损害之日起七个工作日内，以书面形式（原件送达）向代理机构或采购人提出质疑。</w:t>
      </w:r>
    </w:p>
    <w:p w14:paraId="74CF154E">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30.1.1对采购文件提出质疑的，应当在获取采购文件之日或者采购文件公告期限届满之日起7个工作日内提出；</w:t>
      </w:r>
    </w:p>
    <w:p w14:paraId="5A062636">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30.1.2对采购过程提出质疑的，为各采购程序环节结束之日起7个工作日内提出；</w:t>
      </w:r>
    </w:p>
    <w:p w14:paraId="228D714B">
      <w:pPr>
        <w:shd w:val="clea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30.1.3对中标结果提出质疑的，为中标结果公告期限届满之日起7个工作日内提出。</w:t>
      </w:r>
    </w:p>
    <w:p w14:paraId="4F714EB9">
      <w:pPr>
        <w:pStyle w:val="47"/>
        <w:shd w:val="clea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0.2</w:t>
      </w:r>
      <w:r>
        <w:rPr>
          <w:rFonts w:hint="eastAsia" w:ascii="宋体" w:hAnsi="宋体" w:cs="宋体"/>
          <w:color w:val="auto"/>
          <w:szCs w:val="21"/>
          <w:highlight w:val="none"/>
        </w:rPr>
        <w:t>供应商应在法定质疑期内一次性提出针对同一采购程序环节的质疑。质疑必须按相关规定提交。</w:t>
      </w:r>
    </w:p>
    <w:p w14:paraId="6C1A2E22">
      <w:pPr>
        <w:shd w:val="clear"/>
        <w:spacing w:line="360" w:lineRule="auto"/>
        <w:ind w:firstLine="409" w:firstLineChars="195"/>
        <w:rPr>
          <w:rFonts w:ascii="宋体" w:hAnsi="宋体" w:cs="宋体"/>
          <w:color w:val="auto"/>
          <w:szCs w:val="21"/>
          <w:highlight w:val="none"/>
        </w:rPr>
      </w:pPr>
      <w:r>
        <w:rPr>
          <w:rFonts w:hint="eastAsia" w:ascii="宋体" w:hAnsi="宋体" w:cs="宋体"/>
          <w:color w:val="auto"/>
          <w:szCs w:val="21"/>
          <w:highlight w:val="none"/>
        </w:rPr>
        <w:t>30.3</w:t>
      </w:r>
      <w:r>
        <w:rPr>
          <w:rFonts w:hint="eastAsia" w:ascii="宋体" w:hAnsi="宋体"/>
          <w:color w:val="auto"/>
          <w:szCs w:val="21"/>
          <w:highlight w:val="none"/>
        </w:rPr>
        <w:t>提出质疑的供应商（以下简称质疑供应商）应当是参与所质疑项目采购活动的供应商</w:t>
      </w:r>
      <w:r>
        <w:rPr>
          <w:rFonts w:hint="eastAsia" w:ascii="宋体" w:hAnsi="宋体" w:cs="宋体"/>
          <w:color w:val="auto"/>
          <w:szCs w:val="21"/>
          <w:highlight w:val="none"/>
        </w:rPr>
        <w:t>。</w:t>
      </w:r>
    </w:p>
    <w:p w14:paraId="47BD4D2F">
      <w:pPr>
        <w:pStyle w:val="47"/>
        <w:shd w:val="clear"/>
        <w:spacing w:line="360" w:lineRule="auto"/>
        <w:ind w:firstLine="420"/>
        <w:rPr>
          <w:rFonts w:hint="eastAsia" w:ascii="宋体" w:hAnsi="宋体"/>
          <w:color w:val="auto"/>
          <w:szCs w:val="21"/>
          <w:highlight w:val="none"/>
        </w:rPr>
      </w:pPr>
      <w:r>
        <w:rPr>
          <w:rFonts w:hint="eastAsia" w:ascii="宋体" w:hAnsi="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14:paraId="25DD1E1A">
      <w:pPr>
        <w:shd w:val="clea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30.4</w:t>
      </w:r>
      <w:r>
        <w:rPr>
          <w:rFonts w:hint="eastAsia" w:ascii="宋体" w:hAnsi="宋体"/>
          <w:color w:val="auto"/>
          <w:szCs w:val="21"/>
          <w:highlight w:val="none"/>
        </w:rPr>
        <w:t>供应商提出质疑应当提交质疑函和必要的证明材料。质疑函应当包括下列内容</w:t>
      </w:r>
      <w:r>
        <w:rPr>
          <w:rFonts w:hint="eastAsia" w:ascii="宋体" w:hAnsi="宋体" w:cs="宋体"/>
          <w:color w:val="auto"/>
          <w:szCs w:val="21"/>
          <w:highlight w:val="none"/>
        </w:rPr>
        <w:t>：</w:t>
      </w:r>
    </w:p>
    <w:p w14:paraId="715166FC">
      <w:pPr>
        <w:shd w:val="clear"/>
        <w:spacing w:line="360" w:lineRule="auto"/>
        <w:rPr>
          <w:rFonts w:ascii="宋体" w:hAnsi="宋体"/>
          <w:color w:val="auto"/>
          <w:szCs w:val="21"/>
          <w:highlight w:val="none"/>
        </w:rPr>
      </w:pPr>
      <w:r>
        <w:rPr>
          <w:rFonts w:hint="eastAsia" w:ascii="宋体" w:hAnsi="宋体"/>
          <w:color w:val="auto"/>
          <w:szCs w:val="21"/>
          <w:highlight w:val="none"/>
        </w:rPr>
        <w:t>　　30.4.1供应商的姓名或者名称、地址、邮编、联系人及联系电话；</w:t>
      </w:r>
    </w:p>
    <w:p w14:paraId="3DBC3831">
      <w:pPr>
        <w:shd w:val="clear"/>
        <w:spacing w:line="360" w:lineRule="auto"/>
        <w:rPr>
          <w:rFonts w:ascii="宋体" w:hAnsi="宋体"/>
          <w:color w:val="auto"/>
          <w:szCs w:val="21"/>
          <w:highlight w:val="none"/>
        </w:rPr>
      </w:pPr>
      <w:r>
        <w:rPr>
          <w:rFonts w:hint="eastAsia" w:ascii="宋体" w:hAnsi="宋体"/>
          <w:color w:val="auto"/>
          <w:szCs w:val="21"/>
          <w:highlight w:val="none"/>
        </w:rPr>
        <w:t>　　30.4.2质疑项目的名称、编号；</w:t>
      </w:r>
    </w:p>
    <w:p w14:paraId="506585CA">
      <w:pPr>
        <w:shd w:val="clear"/>
        <w:spacing w:line="360" w:lineRule="auto"/>
        <w:rPr>
          <w:rFonts w:ascii="宋体" w:hAnsi="宋体"/>
          <w:color w:val="auto"/>
          <w:szCs w:val="21"/>
          <w:highlight w:val="none"/>
        </w:rPr>
      </w:pPr>
      <w:r>
        <w:rPr>
          <w:rFonts w:hint="eastAsia" w:ascii="宋体" w:hAnsi="宋体"/>
          <w:color w:val="auto"/>
          <w:szCs w:val="21"/>
          <w:highlight w:val="none"/>
        </w:rPr>
        <w:t>　　30.4.3具体、明确的质疑事项和与质疑事项相关的请求；</w:t>
      </w:r>
    </w:p>
    <w:p w14:paraId="26E1EC41">
      <w:pPr>
        <w:shd w:val="clear"/>
        <w:spacing w:line="360" w:lineRule="auto"/>
        <w:rPr>
          <w:rFonts w:ascii="宋体" w:hAnsi="宋体"/>
          <w:color w:val="auto"/>
          <w:szCs w:val="21"/>
          <w:highlight w:val="none"/>
        </w:rPr>
      </w:pPr>
      <w:r>
        <w:rPr>
          <w:rFonts w:hint="eastAsia" w:ascii="宋体" w:hAnsi="宋体"/>
          <w:color w:val="auto"/>
          <w:szCs w:val="21"/>
          <w:highlight w:val="none"/>
        </w:rPr>
        <w:t>　　30.4.4事实依据；</w:t>
      </w:r>
    </w:p>
    <w:p w14:paraId="54DBF463">
      <w:pPr>
        <w:shd w:val="clear"/>
        <w:spacing w:line="360" w:lineRule="auto"/>
        <w:rPr>
          <w:rFonts w:ascii="宋体" w:hAnsi="宋体"/>
          <w:color w:val="auto"/>
          <w:szCs w:val="21"/>
          <w:highlight w:val="none"/>
        </w:rPr>
      </w:pPr>
      <w:r>
        <w:rPr>
          <w:rFonts w:hint="eastAsia" w:ascii="宋体" w:hAnsi="宋体"/>
          <w:color w:val="auto"/>
          <w:szCs w:val="21"/>
          <w:highlight w:val="none"/>
        </w:rPr>
        <w:t>　　30.4.5必要的法律依据；</w:t>
      </w:r>
    </w:p>
    <w:p w14:paraId="07E6263A">
      <w:pPr>
        <w:shd w:val="clear"/>
        <w:spacing w:line="360" w:lineRule="auto"/>
        <w:rPr>
          <w:rFonts w:ascii="宋体" w:hAnsi="宋体"/>
          <w:color w:val="auto"/>
          <w:szCs w:val="21"/>
          <w:highlight w:val="none"/>
        </w:rPr>
      </w:pPr>
      <w:r>
        <w:rPr>
          <w:rFonts w:hint="eastAsia" w:ascii="宋体" w:hAnsi="宋体"/>
          <w:color w:val="auto"/>
          <w:szCs w:val="21"/>
          <w:highlight w:val="none"/>
        </w:rPr>
        <w:t>　　30.4.6提出质疑的日期。</w:t>
      </w:r>
    </w:p>
    <w:p w14:paraId="0A96C78A">
      <w:pPr>
        <w:shd w:val="clear"/>
        <w:spacing w:line="360" w:lineRule="auto"/>
        <w:ind w:firstLine="409" w:firstLineChars="195"/>
        <w:rPr>
          <w:rFonts w:ascii="宋体" w:hAnsi="宋体"/>
          <w:color w:val="auto"/>
          <w:szCs w:val="21"/>
          <w:highlight w:val="none"/>
        </w:rPr>
      </w:pPr>
      <w:r>
        <w:rPr>
          <w:rFonts w:hint="eastAsia" w:ascii="宋体" w:hAnsi="宋体"/>
          <w:color w:val="auto"/>
          <w:szCs w:val="21"/>
          <w:highlight w:val="none"/>
        </w:rPr>
        <w:t>供应商为自然人的，应当由本人签字；供应商为法人或者其他组织的，应当由法定代表人、主要负责人，或者其授权代表签字或者盖章，并加盖公章。</w:t>
      </w:r>
    </w:p>
    <w:p w14:paraId="75308866">
      <w:pPr>
        <w:shd w:val="clea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30.5代理机构收到质疑申请后，将对质疑的形式和内容进行审查，如质疑内容、格式不符合规定，代理机构将告知质疑人进行补正。</w:t>
      </w:r>
    </w:p>
    <w:p w14:paraId="042AB95F">
      <w:pPr>
        <w:shd w:val="clea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30.6</w:t>
      </w:r>
      <w:r>
        <w:rPr>
          <w:rFonts w:hint="eastAsia" w:ascii="宋体" w:hAnsi="宋体"/>
          <w:color w:val="auto"/>
          <w:szCs w:val="21"/>
          <w:highlight w:val="none"/>
        </w:rPr>
        <w:t>质疑人应当在法定质疑期限内进行补正并重新提交质疑函</w:t>
      </w:r>
      <w:r>
        <w:rPr>
          <w:rFonts w:hint="eastAsia" w:ascii="宋体" w:hAnsi="宋体" w:cs="宋体"/>
          <w:color w:val="auto"/>
          <w:szCs w:val="21"/>
          <w:highlight w:val="none"/>
        </w:rPr>
        <w:t>。</w:t>
      </w:r>
    </w:p>
    <w:p w14:paraId="18FA5B53">
      <w:pPr>
        <w:shd w:val="clea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30.7代理机构应当在收到投标供应商的书面质疑后七个工作日内作出答复，并以书面形式通知质疑供应商和其他有关供应商，但答复的内容不得涉及商业秘密。</w:t>
      </w:r>
    </w:p>
    <w:p w14:paraId="5DBB91CF">
      <w:pPr>
        <w:shd w:val="clea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30.8 诚实信用</w:t>
      </w:r>
    </w:p>
    <w:p w14:paraId="0D1D7E88">
      <w:pPr>
        <w:shd w:val="clea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30.8.1 投标人之间不得相互串通投标报价，不得妨碍其他投标人的公平竞争，不得损害采购人和其他投标人的合法权益。</w:t>
      </w:r>
    </w:p>
    <w:p w14:paraId="096A25FB">
      <w:pPr>
        <w:shd w:val="clea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30.8.2 投标人不得以向代理机构工作人员、评标委员会成员行贿或者采取其他不正当手段谋取中标。经查实投标人有此行为的，相关管理部门将投标人列入不良行为记录名单，按照有关规定处理。</w:t>
      </w:r>
    </w:p>
    <w:p w14:paraId="3ADB2201">
      <w:pPr>
        <w:shd w:val="clea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30.8.3 投标人提出书面质疑必须有理、有据，不得虚假质疑和恶意质疑，并对质疑内容的真实性承担责任。一经查实，代理机构有权依据有关规定，报请监管部门对该投标人进行相应的行政处罚并在网站上予以公示。如果投标人或者其他利害关系人通过捏造事实、伪造证明材料等方式提出质疑，干扰采购活动正常进行的，属于严重不良行为，代理机构将提请监管部门将其列入不良行为记录名单，并依法予以处罚。</w:t>
      </w:r>
    </w:p>
    <w:p w14:paraId="473423FB">
      <w:pPr>
        <w:shd w:val="clea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30.8.4 投标人不得虚假承诺，否则，按照提供虚假材料谋取中标成交处理。</w:t>
      </w:r>
    </w:p>
    <w:p w14:paraId="3A7D1B6D">
      <w:pPr>
        <w:shd w:val="clear"/>
        <w:spacing w:line="360" w:lineRule="auto"/>
        <w:ind w:firstLine="409" w:firstLineChars="195"/>
        <w:rPr>
          <w:rFonts w:hint="eastAsia" w:ascii="宋体" w:hAnsi="宋体" w:cs="宋体"/>
          <w:color w:val="auto"/>
          <w:szCs w:val="21"/>
          <w:highlight w:val="none"/>
        </w:rPr>
      </w:pPr>
      <w:r>
        <w:rPr>
          <w:rFonts w:hint="eastAsia" w:ascii="宋体" w:hAnsi="宋体" w:cs="宋体"/>
          <w:color w:val="auto"/>
          <w:szCs w:val="21"/>
          <w:highlight w:val="none"/>
        </w:rPr>
        <w:t>30.8.5 投标人应自觉遵守开标、评标纪律，扰乱开标评标现场秩序的，属于失信行为，根据有关规定，失信行为将被记入投标人诚信档案。</w:t>
      </w:r>
    </w:p>
    <w:p w14:paraId="0B376E1F">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31、中标通知书</w:t>
      </w:r>
    </w:p>
    <w:p w14:paraId="73731DFC">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w:t>
      </w:r>
      <w:r>
        <w:rPr>
          <w:rFonts w:ascii="宋体" w:hAnsi="宋体" w:cs="宋体"/>
          <w:color w:val="auto"/>
          <w:szCs w:val="21"/>
          <w:highlight w:val="none"/>
        </w:rPr>
        <w:t>1</w:t>
      </w:r>
      <w:r>
        <w:rPr>
          <w:rFonts w:hint="eastAsia" w:ascii="宋体" w:hAnsi="宋体" w:cs="宋体"/>
          <w:b/>
          <w:color w:val="auto"/>
          <w:szCs w:val="21"/>
          <w:highlight w:val="none"/>
        </w:rPr>
        <w:t xml:space="preserve"> </w:t>
      </w:r>
      <w:r>
        <w:rPr>
          <w:rFonts w:hint="eastAsia" w:ascii="宋体" w:hAnsi="宋体" w:cs="宋体"/>
          <w:color w:val="auto"/>
          <w:szCs w:val="21"/>
          <w:highlight w:val="none"/>
        </w:rPr>
        <w:t>中标结果确定后，代理机构将向中标供应商发出中标通知书。</w:t>
      </w:r>
    </w:p>
    <w:p w14:paraId="537D8A62">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31.2 中标供应商收到中标通知书后，应签字确认中标通知书已收到。若无回复，则公告后视同中标供应商已经知悉并同意接受。</w:t>
      </w:r>
    </w:p>
    <w:p w14:paraId="7C683DC7">
      <w:pPr>
        <w:shd w:val="clea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31.3中标通知书将是合同的一个组成部分。对采购人和中标供应商均具有法律效力。中标通知书发出后，采购人改变中标结果的，或者中标供应商放弃中标项目的，应当依法承担法律责任。</w:t>
      </w:r>
    </w:p>
    <w:p w14:paraId="47A1E6DA">
      <w:pPr>
        <w:shd w:val="clea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31.4所有投标文件都将作为档案保存，不论中标与否，代理机构均不退回。</w:t>
      </w:r>
    </w:p>
    <w:p w14:paraId="05328A39">
      <w:pPr>
        <w:shd w:val="clea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32、签订合同</w:t>
      </w:r>
    </w:p>
    <w:p w14:paraId="3132582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32</w:t>
      </w: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中标供应商应按中标通知书规定的时间、地点，按照招标文件确定的事项与采购人签订采购合同，且不得迟于中标通知书发出之日起三十日，由此给采购人造成损失的，中标供应商还应承担赔偿责任。</w:t>
      </w:r>
    </w:p>
    <w:p w14:paraId="54BB821F">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w:t>
      </w:r>
      <w:r>
        <w:rPr>
          <w:rFonts w:hint="eastAsia" w:ascii="宋体" w:hAnsi="宋体" w:cs="宋体"/>
          <w:b/>
          <w:color w:val="auto"/>
          <w:szCs w:val="21"/>
          <w:highlight w:val="none"/>
        </w:rPr>
        <w:t xml:space="preserve"> </w:t>
      </w:r>
      <w:r>
        <w:rPr>
          <w:rFonts w:hint="eastAsia" w:ascii="宋体" w:hAnsi="宋体" w:cs="宋体"/>
          <w:color w:val="auto"/>
          <w:szCs w:val="21"/>
          <w:highlight w:val="none"/>
        </w:rPr>
        <w:t>招标文件、中标供应商的投标文件及招标过程中有关澄清、承诺文件均应作为合同附件。</w:t>
      </w:r>
    </w:p>
    <w:p w14:paraId="5CFC2FCB">
      <w:pPr>
        <w:shd w:val="clea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 签订合同后，</w:t>
      </w:r>
      <w:r>
        <w:rPr>
          <w:rFonts w:hint="eastAsia" w:ascii="宋体" w:hAnsi="宋体" w:cs="宋体"/>
          <w:i/>
          <w:color w:val="auto"/>
          <w:szCs w:val="21"/>
          <w:highlight w:val="none"/>
          <w:u w:val="single"/>
        </w:rPr>
        <w:t>中标供应商不得将中标服务进行转包</w:t>
      </w:r>
      <w:r>
        <w:rPr>
          <w:rFonts w:hint="eastAsia" w:ascii="宋体" w:hAnsi="宋体" w:cs="宋体"/>
          <w:color w:val="auto"/>
          <w:szCs w:val="21"/>
          <w:highlight w:val="none"/>
        </w:rPr>
        <w:t>。未经采购人同意，中标供应商也不得采用分包的形式履行合同，否则采购人有权终止合同。转包或分包造成采购人损失或致使合同履行中发生违约现象的，中标供应商应承担赔偿责任。</w:t>
      </w:r>
    </w:p>
    <w:p w14:paraId="4FE6E5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32.4采购人不得向中标人提出任何不合理的要求作为签订合同的条件，不得与中标人私下订立背离合同实质性内容的协议。所签订的合同不得对招标文件确定事项和中标人投标文件作实质性修改。</w:t>
      </w:r>
    </w:p>
    <w:p w14:paraId="37BD453F">
      <w:pPr>
        <w:pStyle w:val="16"/>
        <w:spacing w:line="360" w:lineRule="auto"/>
        <w:rPr>
          <w:rFonts w:ascii="宋体" w:hAnsi="宋体" w:cs="宋体"/>
          <w:color w:val="auto"/>
          <w:szCs w:val="21"/>
          <w:highlight w:val="none"/>
        </w:rPr>
      </w:pPr>
      <w:r>
        <w:rPr>
          <w:rFonts w:hint="eastAsia" w:ascii="宋体" w:hAnsi="宋体" w:cs="宋体"/>
          <w:color w:val="auto"/>
          <w:sz w:val="21"/>
          <w:szCs w:val="21"/>
          <w:highlight w:val="none"/>
        </w:rPr>
        <w:t>32.5</w:t>
      </w:r>
      <w:r>
        <w:rPr>
          <w:rFonts w:hint="eastAsia" w:ascii="宋体" w:hAnsi="宋体" w:cs="宋体"/>
          <w:bCs/>
          <w:color w:val="auto"/>
          <w:sz w:val="21"/>
          <w:szCs w:val="21"/>
          <w:highlight w:val="none"/>
        </w:rPr>
        <w:t>履约保证金：</w:t>
      </w:r>
      <w:r>
        <w:rPr>
          <w:rFonts w:hint="eastAsia" w:ascii="宋体" w:hAnsi="宋体" w:cs="宋体"/>
          <w:color w:val="auto"/>
          <w:sz w:val="21"/>
          <w:szCs w:val="21"/>
          <w:highlight w:val="none"/>
        </w:rPr>
        <w:t>本项目不收取履约保证金。</w:t>
      </w:r>
    </w:p>
    <w:p w14:paraId="2E82D5B9">
      <w:pPr>
        <w:rPr>
          <w:rFonts w:hint="eastAsia" w:ascii="宋体" w:hAnsi="宋体"/>
          <w:b/>
          <w:color w:val="auto"/>
          <w:sz w:val="36"/>
          <w:highlight w:val="none"/>
        </w:rPr>
      </w:pPr>
      <w:r>
        <w:rPr>
          <w:rFonts w:hint="eastAsia" w:ascii="宋体" w:hAnsi="宋体"/>
          <w:b/>
          <w:color w:val="auto"/>
          <w:sz w:val="36"/>
          <w:highlight w:val="none"/>
        </w:rPr>
        <w:br w:type="page"/>
      </w:r>
    </w:p>
    <w:p w14:paraId="6F509622">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outlineLvl w:val="0"/>
        <w:rPr>
          <w:rFonts w:ascii="宋体" w:hAnsi="宋体"/>
          <w:b/>
          <w:color w:val="auto"/>
          <w:sz w:val="36"/>
          <w:highlight w:val="none"/>
        </w:rPr>
      </w:pPr>
      <w:bookmarkStart w:id="107" w:name="_Toc5806"/>
      <w:r>
        <w:rPr>
          <w:rFonts w:hint="eastAsia" w:ascii="宋体" w:hAnsi="宋体"/>
          <w:b/>
          <w:color w:val="auto"/>
          <w:sz w:val="36"/>
          <w:highlight w:val="none"/>
        </w:rPr>
        <w:t>第三章 合同条款及格式</w:t>
      </w:r>
      <w:bookmarkEnd w:id="107"/>
      <w:bookmarkStart w:id="108" w:name="_Toc351203632"/>
    </w:p>
    <w:bookmarkEnd w:id="108"/>
    <w:p w14:paraId="3210EBBC">
      <w:pPr>
        <w:shd w:val="clear"/>
        <w:rPr>
          <w:color w:val="auto"/>
          <w:highlight w:val="none"/>
        </w:rPr>
      </w:pPr>
      <w:bookmarkStart w:id="109" w:name="_Toc17960"/>
    </w:p>
    <w:p w14:paraId="0C60C5A5">
      <w:pPr>
        <w:shd w:val="clear"/>
        <w:rPr>
          <w:color w:val="auto"/>
          <w:highlight w:val="none"/>
        </w:rPr>
      </w:pPr>
    </w:p>
    <w:p w14:paraId="2CDEA858">
      <w:pPr>
        <w:shd w:val="clear"/>
        <w:rPr>
          <w:rFonts w:hint="eastAsia" w:ascii="宋体" w:hAnsi="宋体" w:eastAsia="宋体" w:cs="宋体"/>
          <w:color w:val="auto"/>
          <w:sz w:val="52"/>
          <w:szCs w:val="52"/>
          <w:highlight w:val="none"/>
        </w:rPr>
      </w:pPr>
    </w:p>
    <w:p w14:paraId="751A8F69">
      <w:pPr>
        <w:widowControl w:val="0"/>
        <w:shd w:val="clear"/>
        <w:spacing w:after="120" w:line="540" w:lineRule="exact"/>
        <w:ind w:left="420" w:leftChars="200" w:firstLine="720" w:firstLineChars="200"/>
        <w:jc w:val="both"/>
        <w:rPr>
          <w:rFonts w:hint="eastAsia" w:ascii="宋体" w:hAnsi="宋体" w:eastAsia="宋体" w:cs="宋体"/>
          <w:b/>
          <w:color w:val="auto"/>
          <w:kern w:val="0"/>
          <w:sz w:val="24"/>
          <w:szCs w:val="24"/>
          <w:highlight w:val="none"/>
          <w:lang w:val="en-US" w:eastAsia="zh-CN" w:bidi="ar-SA"/>
        </w:rPr>
      </w:pPr>
      <w:r>
        <w:rPr>
          <w:rFonts w:hint="eastAsia" w:ascii="宋体" w:hAnsi="宋体" w:cs="宋体"/>
          <w:color w:val="auto"/>
          <w:sz w:val="36"/>
          <w:highlight w:val="none"/>
          <w:lang w:eastAsia="zh-CN"/>
        </w:rPr>
        <w:t>GZ627地块房地产开发项目营销代理服务</w:t>
      </w:r>
      <w:r>
        <w:rPr>
          <w:rFonts w:hint="eastAsia" w:ascii="宋体" w:hAnsi="宋体" w:eastAsia="宋体" w:cs="宋体"/>
          <w:color w:val="auto"/>
          <w:sz w:val="36"/>
          <w:highlight w:val="none"/>
        </w:rPr>
        <w:t>合同书</w:t>
      </w:r>
    </w:p>
    <w:p w14:paraId="5682EC5F">
      <w:pPr>
        <w:widowControl w:val="0"/>
        <w:shd w:val="clear"/>
        <w:spacing w:after="120" w:line="540" w:lineRule="exact"/>
        <w:ind w:left="420" w:leftChars="200" w:firstLine="482" w:firstLineChars="200"/>
        <w:jc w:val="both"/>
        <w:rPr>
          <w:rFonts w:hint="eastAsia" w:ascii="宋体" w:hAnsi="宋体" w:eastAsia="宋体" w:cs="宋体"/>
          <w:b/>
          <w:color w:val="auto"/>
          <w:kern w:val="0"/>
          <w:sz w:val="24"/>
          <w:szCs w:val="24"/>
          <w:highlight w:val="none"/>
          <w:lang w:val="en-US" w:eastAsia="zh-CN" w:bidi="ar-SA"/>
        </w:rPr>
      </w:pPr>
    </w:p>
    <w:p w14:paraId="6C5CAF82">
      <w:pPr>
        <w:widowControl w:val="0"/>
        <w:shd w:val="clear"/>
        <w:spacing w:after="120" w:line="540" w:lineRule="exact"/>
        <w:ind w:left="420" w:leftChars="200" w:firstLine="482" w:firstLineChars="200"/>
        <w:jc w:val="both"/>
        <w:rPr>
          <w:rFonts w:hint="eastAsia" w:ascii="宋体" w:hAnsi="宋体" w:eastAsia="宋体" w:cs="宋体"/>
          <w:b/>
          <w:color w:val="auto"/>
          <w:kern w:val="0"/>
          <w:sz w:val="24"/>
          <w:szCs w:val="24"/>
          <w:highlight w:val="none"/>
          <w:lang w:val="en-US" w:eastAsia="zh-CN" w:bidi="ar-SA"/>
        </w:rPr>
      </w:pPr>
    </w:p>
    <w:p w14:paraId="2D81EE22">
      <w:pPr>
        <w:widowControl w:val="0"/>
        <w:shd w:val="clear"/>
        <w:spacing w:after="120" w:line="540" w:lineRule="exact"/>
        <w:ind w:left="420" w:leftChars="200" w:firstLine="482" w:firstLineChars="200"/>
        <w:jc w:val="both"/>
        <w:rPr>
          <w:rFonts w:hint="eastAsia" w:ascii="宋体" w:hAnsi="宋体" w:eastAsia="宋体" w:cs="宋体"/>
          <w:b/>
          <w:color w:val="auto"/>
          <w:kern w:val="0"/>
          <w:sz w:val="24"/>
          <w:szCs w:val="24"/>
          <w:highlight w:val="none"/>
          <w:lang w:val="en-US" w:eastAsia="zh-CN" w:bidi="ar-SA"/>
        </w:rPr>
      </w:pPr>
    </w:p>
    <w:p w14:paraId="71A47B75">
      <w:pPr>
        <w:widowControl w:val="0"/>
        <w:shd w:val="clear"/>
        <w:spacing w:after="120" w:line="540" w:lineRule="exact"/>
        <w:ind w:left="420" w:leftChars="200" w:firstLine="482" w:firstLineChars="200"/>
        <w:jc w:val="both"/>
        <w:rPr>
          <w:rFonts w:hint="eastAsia" w:ascii="宋体" w:hAnsi="宋体" w:eastAsia="宋体" w:cs="宋体"/>
          <w:b/>
          <w:color w:val="auto"/>
          <w:kern w:val="0"/>
          <w:sz w:val="24"/>
          <w:szCs w:val="24"/>
          <w:highlight w:val="none"/>
          <w:lang w:val="en-US" w:eastAsia="zh-CN" w:bidi="ar-SA"/>
        </w:rPr>
      </w:pPr>
    </w:p>
    <w:p w14:paraId="452290C0">
      <w:pPr>
        <w:widowControl w:val="0"/>
        <w:shd w:val="clear"/>
        <w:spacing w:after="120" w:line="540" w:lineRule="exact"/>
        <w:ind w:left="420" w:leftChars="200" w:firstLine="482" w:firstLineChars="200"/>
        <w:jc w:val="both"/>
        <w:rPr>
          <w:rFonts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委托方（以下简称甲方）：</w:t>
      </w:r>
    </w:p>
    <w:p w14:paraId="5696BCBA">
      <w:pPr>
        <w:widowControl w:val="0"/>
        <w:shd w:val="clear"/>
        <w:spacing w:after="120" w:line="540" w:lineRule="exact"/>
        <w:ind w:left="420" w:leftChars="200" w:firstLine="482"/>
        <w:jc w:val="both"/>
        <w:rPr>
          <w:rFonts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法定代表人：</w:t>
      </w:r>
    </w:p>
    <w:p w14:paraId="06C2F483">
      <w:pPr>
        <w:widowControl w:val="0"/>
        <w:shd w:val="clear"/>
        <w:spacing w:after="120" w:line="540" w:lineRule="exact"/>
        <w:ind w:left="420" w:leftChars="200" w:firstLine="482" w:firstLineChars="200"/>
        <w:jc w:val="both"/>
        <w:rPr>
          <w:rFonts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注册地址：</w:t>
      </w:r>
    </w:p>
    <w:p w14:paraId="0F8FF1DC">
      <w:pPr>
        <w:widowControl w:val="0"/>
        <w:shd w:val="clear"/>
        <w:spacing w:after="120" w:line="540" w:lineRule="exact"/>
        <w:ind w:left="420" w:leftChars="200" w:firstLine="482" w:firstLineChars="200"/>
        <w:jc w:val="both"/>
        <w:rPr>
          <w:rFonts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联系电话：</w:t>
      </w:r>
    </w:p>
    <w:p w14:paraId="221430F3">
      <w:pPr>
        <w:widowControl w:val="0"/>
        <w:shd w:val="clear"/>
        <w:spacing w:after="120" w:line="540" w:lineRule="exact"/>
        <w:ind w:left="420" w:leftChars="200" w:firstLine="482" w:firstLineChars="200"/>
        <w:jc w:val="both"/>
        <w:rPr>
          <w:rFonts w:ascii="宋体" w:hAnsi="宋体" w:eastAsia="宋体" w:cs="宋体"/>
          <w:b/>
          <w:color w:val="auto"/>
          <w:kern w:val="0"/>
          <w:sz w:val="24"/>
          <w:szCs w:val="24"/>
          <w:highlight w:val="none"/>
          <w:lang w:val="en-US" w:eastAsia="zh-CN" w:bidi="ar-SA"/>
        </w:rPr>
      </w:pPr>
    </w:p>
    <w:p w14:paraId="55480D48">
      <w:pPr>
        <w:shd w:val="clear"/>
        <w:rPr>
          <w:rFonts w:ascii="Times New Roman" w:hAnsi="Times New Roman" w:eastAsia="宋体" w:cs="Times New Roman"/>
          <w:color w:val="auto"/>
          <w:highlight w:val="none"/>
        </w:rPr>
      </w:pPr>
    </w:p>
    <w:p w14:paraId="47FDADFD">
      <w:pPr>
        <w:widowControl w:val="0"/>
        <w:shd w:val="clear"/>
        <w:spacing w:after="120" w:line="540" w:lineRule="exact"/>
        <w:ind w:left="420" w:leftChars="200" w:firstLine="482"/>
        <w:jc w:val="both"/>
        <w:rPr>
          <w:rFonts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 xml:space="preserve">受委托方（以下简称乙方）：        </w:t>
      </w:r>
    </w:p>
    <w:p w14:paraId="23540F84">
      <w:pPr>
        <w:widowControl w:val="0"/>
        <w:shd w:val="clear"/>
        <w:spacing w:after="120" w:line="540" w:lineRule="exact"/>
        <w:ind w:left="420" w:leftChars="200" w:firstLine="482"/>
        <w:jc w:val="both"/>
        <w:rPr>
          <w:rFonts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法定代表人：</w:t>
      </w:r>
    </w:p>
    <w:p w14:paraId="5252460C">
      <w:pPr>
        <w:widowControl w:val="0"/>
        <w:shd w:val="clear"/>
        <w:spacing w:after="120" w:line="540" w:lineRule="exact"/>
        <w:ind w:left="420" w:leftChars="200" w:firstLine="482"/>
        <w:jc w:val="both"/>
        <w:rPr>
          <w:rFonts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注册地址：</w:t>
      </w:r>
    </w:p>
    <w:p w14:paraId="1DEA6E7F">
      <w:pPr>
        <w:widowControl w:val="0"/>
        <w:shd w:val="clear"/>
        <w:spacing w:after="120" w:line="540" w:lineRule="exact"/>
        <w:ind w:left="420" w:leftChars="200" w:firstLine="482"/>
        <w:jc w:val="both"/>
        <w:rPr>
          <w:rFonts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联系电话：</w:t>
      </w:r>
    </w:p>
    <w:p w14:paraId="7820B597">
      <w:pPr>
        <w:shd w:val="clear"/>
        <w:rPr>
          <w:color w:val="auto"/>
          <w:highlight w:val="none"/>
        </w:rPr>
      </w:pPr>
    </w:p>
    <w:p w14:paraId="7056DBAF">
      <w:pPr>
        <w:shd w:val="clear"/>
        <w:rPr>
          <w:rFonts w:ascii="宋体" w:hAnsi="宋体" w:cs="宋体"/>
          <w:color w:val="auto"/>
          <w:szCs w:val="21"/>
          <w:highlight w:val="none"/>
        </w:rPr>
      </w:pPr>
      <w:r>
        <w:rPr>
          <w:rFonts w:ascii="宋体" w:hAnsi="宋体" w:cs="宋体"/>
          <w:color w:val="auto"/>
          <w:szCs w:val="21"/>
          <w:highlight w:val="none"/>
        </w:rPr>
        <w:br w:type="page"/>
      </w:r>
    </w:p>
    <w:p w14:paraId="0C0AD87F">
      <w:pPr>
        <w:pStyle w:val="20"/>
        <w:shd w:val="clear"/>
        <w:spacing w:line="360" w:lineRule="auto"/>
        <w:ind w:firstLine="400"/>
        <w:jc w:val="center"/>
        <w:rPr>
          <w:rFonts w:hint="eastAsia" w:ascii="宋体" w:hAnsi="宋体" w:eastAsia="宋体" w:cs="宋体"/>
          <w:b/>
          <w:bCs/>
          <w:color w:val="auto"/>
          <w:sz w:val="36"/>
          <w:szCs w:val="36"/>
          <w:highlight w:val="none"/>
          <w:lang w:eastAsia="zh-CN"/>
        </w:rPr>
      </w:pPr>
      <w:r>
        <w:rPr>
          <w:rFonts w:hint="eastAsia" w:hAnsi="宋体" w:cs="宋体"/>
          <w:b/>
          <w:bCs/>
          <w:color w:val="auto"/>
          <w:sz w:val="36"/>
          <w:szCs w:val="36"/>
          <w:highlight w:val="none"/>
          <w:u w:color="000000"/>
          <w:lang w:val="zh-TW" w:eastAsia="zh-CN"/>
        </w:rPr>
        <w:t>GZ627地块房地产开发项目营销代理服务合同书</w:t>
      </w:r>
    </w:p>
    <w:p w14:paraId="172028D3">
      <w:pPr>
        <w:pStyle w:val="16"/>
        <w:pageBreakBefore w:val="0"/>
        <w:shd w:val="clear"/>
        <w:kinsoku/>
        <w:wordWrap/>
        <w:overflowPunct/>
        <w:topLinePunct w:val="0"/>
        <w:autoSpaceDE/>
        <w:autoSpaceDN/>
        <w:bidi w:val="0"/>
        <w:adjustRightInd w:val="0"/>
        <w:snapToGrid w:val="0"/>
        <w:spacing w:after="0" w:line="360" w:lineRule="auto"/>
        <w:ind w:left="0" w:leftChars="0" w:right="0"/>
        <w:outlineLvl w:val="9"/>
        <w:rPr>
          <w:rFonts w:hint="eastAsia" w:ascii="宋体" w:hAnsi="宋体" w:eastAsia="宋体" w:cs="宋体"/>
          <w:color w:val="auto"/>
          <w:sz w:val="21"/>
          <w:szCs w:val="21"/>
          <w:highlight w:val="none"/>
        </w:rPr>
      </w:pPr>
    </w:p>
    <w:p w14:paraId="47CAF254">
      <w:pPr>
        <w:pStyle w:val="16"/>
        <w:pageBreakBefore w:val="0"/>
        <w:shd w:val="clear"/>
        <w:kinsoku/>
        <w:wordWrap/>
        <w:overflowPunct/>
        <w:topLinePunct w:val="0"/>
        <w:autoSpaceDE/>
        <w:autoSpaceDN/>
        <w:bidi w:val="0"/>
        <w:adjustRightInd w:val="0"/>
        <w:snapToGrid w:val="0"/>
        <w:spacing w:after="0" w:line="360" w:lineRule="auto"/>
        <w:ind w:left="0" w:leftChars="0" w:right="0" w:firstLine="420" w:firstLineChars="200"/>
        <w:outlineLvl w:val="9"/>
        <w:rPr>
          <w:rFonts w:hint="eastAsia" w:ascii="宋体" w:hAnsi="宋体" w:eastAsia="宋体" w:cs="宋体"/>
          <w:color w:val="auto"/>
          <w:kern w:val="2"/>
          <w:sz w:val="21"/>
          <w:szCs w:val="21"/>
          <w:highlight w:val="none"/>
          <w:u w:val="single"/>
        </w:rPr>
      </w:pPr>
      <w:r>
        <w:rPr>
          <w:rFonts w:hint="eastAsia" w:ascii="宋体" w:hAnsi="宋体" w:eastAsia="宋体" w:cs="宋体"/>
          <w:color w:val="auto"/>
          <w:sz w:val="21"/>
          <w:szCs w:val="21"/>
          <w:highlight w:val="none"/>
        </w:rPr>
        <w:t>甲方：</w:t>
      </w:r>
      <w:r>
        <w:rPr>
          <w:rFonts w:hint="eastAsia" w:ascii="宋体" w:hAnsi="宋体" w:eastAsia="宋体" w:cs="宋体"/>
          <w:color w:val="auto"/>
          <w:kern w:val="2"/>
          <w:sz w:val="21"/>
          <w:szCs w:val="21"/>
          <w:highlight w:val="none"/>
          <w:u w:val="single"/>
        </w:rPr>
        <w:t xml:space="preserve"> 扬州锦毓置业有限公司  </w:t>
      </w:r>
    </w:p>
    <w:p w14:paraId="4FBF6BE3">
      <w:pPr>
        <w:pageBreakBefore w:val="0"/>
        <w:shd w:val="clear"/>
        <w:kinsoku/>
        <w:wordWrap/>
        <w:overflowPunct/>
        <w:topLinePunct w:val="0"/>
        <w:autoSpaceDE/>
        <w:autoSpaceDN/>
        <w:bidi w:val="0"/>
        <w:adjustRightInd w:val="0"/>
        <w:snapToGrid w:val="0"/>
        <w:spacing w:line="360" w:lineRule="auto"/>
        <w:ind w:left="0" w:leftChars="0" w:right="0" w:firstLine="420" w:firstLineChars="200"/>
        <w:outlineLvl w:val="9"/>
        <w:rPr>
          <w:rFonts w:hint="eastAsia" w:ascii="宋体" w:hAnsi="宋体" w:eastAsia="宋体" w:cs="宋体"/>
          <w:color w:val="auto"/>
          <w:sz w:val="21"/>
          <w:szCs w:val="21"/>
          <w:highlight w:val="none"/>
          <w:u w:color="000000"/>
          <w:lang w:val="zh-TW" w:eastAsia="zh-TW"/>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14:paraId="6A37B7F4">
      <w:pPr>
        <w:shd w:val="clea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rPr>
        <w:t>GZ627地块项目基本情况：</w:t>
      </w:r>
    </w:p>
    <w:p w14:paraId="064E000A">
      <w:pPr>
        <w:pageBreakBefore w:val="0"/>
        <w:widowControl w:val="0"/>
        <w:shd w:val="clear"/>
        <w:kinsoku/>
        <w:wordWrap/>
        <w:overflowPunct/>
        <w:topLinePunct w:val="0"/>
        <w:bidi w:val="0"/>
        <w:adjustRightInd/>
        <w:spacing w:before="0" w:after="0" w:afterLines="0" w:line="360" w:lineRule="auto"/>
        <w:ind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项目地点和土地四至：GZ627地块位于【扬州市蒋王西片区】，四至为【东临规划七里沟路，南至规划汇博路，西至现状空地，北至规划横沟路】。界址点坐标最终以《国有建设用地使用权出让合同》附件之《出让宗地界址图》为准。</w:t>
      </w:r>
    </w:p>
    <w:p w14:paraId="7A633DF1">
      <w:pPr>
        <w:pageBreakBefore w:val="0"/>
        <w:widowControl w:val="0"/>
        <w:shd w:val="clear"/>
        <w:kinsoku/>
        <w:wordWrap/>
        <w:overflowPunct/>
        <w:topLinePunct w:val="0"/>
        <w:bidi w:val="0"/>
        <w:adjustRightInd/>
        <w:spacing w:before="0" w:after="0" w:afterLines="0" w:line="360" w:lineRule="auto"/>
        <w:ind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（二）项目名称和用地性质：</w:t>
      </w:r>
      <w:r>
        <w:rPr>
          <w:rFonts w:hint="eastAsia" w:ascii="宋体" w:hAnsi="宋体" w:cs="宋体"/>
          <w:color w:val="auto"/>
          <w:kern w:val="0"/>
          <w:sz w:val="21"/>
          <w:szCs w:val="21"/>
          <w:highlight w:val="none"/>
          <w:lang w:val="en-US" w:eastAsia="zh-CN" w:bidi="ar-SA"/>
        </w:rPr>
        <w:t>GZ627地块房地产开发项目营销代理服务</w:t>
      </w:r>
      <w:r>
        <w:rPr>
          <w:rFonts w:hint="eastAsia" w:ascii="宋体" w:hAnsi="宋体" w:eastAsia="宋体" w:cs="宋体"/>
          <w:color w:val="auto"/>
          <w:kern w:val="0"/>
          <w:sz w:val="21"/>
          <w:szCs w:val="21"/>
          <w:highlight w:val="none"/>
          <w:lang w:val="en-US" w:eastAsia="zh-CN" w:bidi="ar-SA"/>
        </w:rPr>
        <w:t>，用地性质为【居住用地】。</w:t>
      </w:r>
    </w:p>
    <w:p w14:paraId="45E6BE94">
      <w:pPr>
        <w:pageBreakBefore w:val="0"/>
        <w:widowControl w:val="0"/>
        <w:shd w:val="clear"/>
        <w:kinsoku/>
        <w:wordWrap/>
        <w:overflowPunct/>
        <w:topLinePunct w:val="0"/>
        <w:bidi w:val="0"/>
        <w:adjustRightInd/>
        <w:spacing w:before="0" w:after="0" w:afterLines="0" w:line="360" w:lineRule="auto"/>
        <w:ind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（三）土地使用权获取方式：【2024年11月】通过【挂牌】方式取得。</w:t>
      </w:r>
    </w:p>
    <w:p w14:paraId="319A8FF3">
      <w:pPr>
        <w:pageBreakBefore w:val="0"/>
        <w:widowControl w:val="0"/>
        <w:shd w:val="clear"/>
        <w:kinsoku/>
        <w:wordWrap/>
        <w:overflowPunct/>
        <w:topLinePunct w:val="0"/>
        <w:bidi w:val="0"/>
        <w:adjustRightInd/>
        <w:spacing w:before="0" w:after="0" w:afterLines="0" w:line="360" w:lineRule="auto"/>
        <w:ind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（四）地块面积：GZ627宗地面积约【62758】平方米，约【94.2】亩，其中建设用地面积约【62758】平方米。最终以国有土地使用证上登载的面积为准。</w:t>
      </w:r>
    </w:p>
    <w:p w14:paraId="12A98A11">
      <w:pPr>
        <w:pageBreakBefore w:val="0"/>
        <w:widowControl w:val="0"/>
        <w:shd w:val="clear"/>
        <w:kinsoku/>
        <w:wordWrap/>
        <w:overflowPunct/>
        <w:topLinePunct w:val="0"/>
        <w:bidi w:val="0"/>
        <w:adjustRightInd/>
        <w:spacing w:before="0" w:after="0" w:afterLines="0" w:line="360" w:lineRule="auto"/>
        <w:ind w:right="0" w:firstLine="420" w:firstLineChars="200"/>
        <w:jc w:val="both"/>
        <w:textAlignment w:val="auto"/>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（五）主要规划建设指标：GZ627地块容积率为【1.0-1.02】，建筑密度为【不高于30%】，绿地率为【不低于35%】，详见地块规划设计条件书（最终以规划部门核准的指标为准）。</w:t>
      </w:r>
    </w:p>
    <w:p w14:paraId="77B36E58">
      <w:pPr>
        <w:keepNext/>
        <w:keepLines/>
        <w:pageBreakBefore w:val="0"/>
        <w:widowControl w:val="0"/>
        <w:shd w:val="clear"/>
        <w:kinsoku/>
        <w:wordWrap/>
        <w:overflowPunct/>
        <w:topLinePunct w:val="0"/>
        <w:bidi w:val="0"/>
        <w:adjustRightInd/>
        <w:spacing w:line="360" w:lineRule="auto"/>
        <w:ind w:left="0" w:right="0" w:firstLine="422" w:firstLineChars="200"/>
        <w:jc w:val="both"/>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第二条 项目营销代理服务基本原则</w:t>
      </w:r>
    </w:p>
    <w:p w14:paraId="0E51A5EC">
      <w:pPr>
        <w:pageBreakBefore w:val="0"/>
        <w:widowControl w:val="0"/>
        <w:shd w:val="clear"/>
        <w:kinsoku/>
        <w:wordWrap/>
        <w:overflowPunct/>
        <w:topLinePunct w:val="0"/>
        <w:bidi w:val="0"/>
        <w:adjustRightInd/>
        <w:spacing w:before="0" w:after="0" w:afterLines="0" w:line="360" w:lineRule="auto"/>
        <w:ind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为了提高管理效率、降低管理成本，本项目的营销代理服务实行有限制的授权管理模式。即在项目营销代理服务范围内，经甲方用章等形式以甲方名义行使该权利。上述授权范围根据本合同的约定确定，未经双方同意不得随意变更。但若乙方未按规定权限执行或依据权限执行不当给甲方造成损失时，甲方有权就相关权限进行调整，而无须经得乙方另行同意。</w:t>
      </w:r>
    </w:p>
    <w:p w14:paraId="23DCF421">
      <w:pPr>
        <w:pageBreakBefore w:val="0"/>
        <w:widowControl w:val="0"/>
        <w:shd w:val="clear"/>
        <w:kinsoku/>
        <w:wordWrap/>
        <w:overflowPunct/>
        <w:topLinePunct w:val="0"/>
        <w:bidi w:val="0"/>
        <w:adjustRightInd/>
        <w:spacing w:before="0" w:after="0" w:afterLines="0" w:line="360" w:lineRule="auto"/>
        <w:ind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（二）甲方作为项目的开发建设单位，负责项目投资、建设，对项目定位、项目定价、营销方案等环节具有最终决策权。</w:t>
      </w:r>
    </w:p>
    <w:p w14:paraId="36EF08D3">
      <w:pPr>
        <w:pageBreakBefore w:val="0"/>
        <w:widowControl w:val="0"/>
        <w:shd w:val="clear"/>
        <w:kinsoku/>
        <w:wordWrap/>
        <w:overflowPunct/>
        <w:topLinePunct w:val="0"/>
        <w:bidi w:val="0"/>
        <w:adjustRightInd/>
        <w:spacing w:before="0" w:after="0" w:afterLines="0" w:line="360" w:lineRule="auto"/>
        <w:ind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（三）乙方根据本合同的约定履行营销代理服务职责和义务，组建项目营销代理团队，对甲方负责，在本合同约定或甲方的特别授权许可范围对项目各可售类物业进行销售，实现项目销售目标。</w:t>
      </w:r>
    </w:p>
    <w:p w14:paraId="74D8FD7C">
      <w:pPr>
        <w:keepNext/>
        <w:keepLines/>
        <w:pageBreakBefore w:val="0"/>
        <w:widowControl w:val="0"/>
        <w:shd w:val="clear"/>
        <w:kinsoku/>
        <w:wordWrap/>
        <w:overflowPunct/>
        <w:topLinePunct w:val="0"/>
        <w:bidi w:val="0"/>
        <w:adjustRightInd/>
        <w:spacing w:line="360" w:lineRule="auto"/>
        <w:ind w:left="0" w:right="0" w:firstLine="422" w:firstLineChars="200"/>
        <w:jc w:val="both"/>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第三条 服务范围及服务期限</w:t>
      </w:r>
    </w:p>
    <w:p w14:paraId="67FBCED6">
      <w:pPr>
        <w:pageBreakBefore w:val="0"/>
        <w:widowControl w:val="0"/>
        <w:shd w:val="clear"/>
        <w:kinsoku/>
        <w:wordWrap/>
        <w:overflowPunct/>
        <w:topLinePunct w:val="0"/>
        <w:bidi w:val="0"/>
        <w:adjustRightInd/>
        <w:spacing w:before="0" w:after="0" w:afterLines="0" w:line="360" w:lineRule="auto"/>
        <w:ind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（一）本合同约定的营销代理服务涵盖合同期限内项目的营销服务工作，乙方对营销代理服务范围内应该从事的具体事项包含但不限于以下主要列举：</w:t>
      </w:r>
    </w:p>
    <w:p w14:paraId="4011410A">
      <w:pPr>
        <w:pageBreakBefore w:val="0"/>
        <w:widowControl w:val="0"/>
        <w:numPr>
          <w:ilvl w:val="0"/>
          <w:numId w:val="7"/>
        </w:numPr>
        <w:shd w:val="clear"/>
        <w:kinsoku/>
        <w:wordWrap/>
        <w:overflowPunct/>
        <w:topLinePunct w:val="0"/>
        <w:bidi w:val="0"/>
        <w:adjustRightInd/>
        <w:spacing w:before="0" w:after="0" w:afterLines="0" w:line="360" w:lineRule="auto"/>
        <w:ind w:left="0" w:leftChars="0"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营销计划管理，包括营销阶段性划分、战术部署及促销手法建议、整盘销售策略、价格策略制定、销售计划、开盘方案、示范区方案等；</w:t>
      </w:r>
    </w:p>
    <w:p w14:paraId="612FFCAD">
      <w:pPr>
        <w:pageBreakBefore w:val="0"/>
        <w:widowControl w:val="0"/>
        <w:numPr>
          <w:ilvl w:val="0"/>
          <w:numId w:val="7"/>
        </w:numPr>
        <w:shd w:val="clear"/>
        <w:kinsoku/>
        <w:wordWrap/>
        <w:overflowPunct/>
        <w:topLinePunct w:val="0"/>
        <w:bidi w:val="0"/>
        <w:adjustRightInd/>
        <w:spacing w:before="0" w:after="0" w:afterLines="0" w:line="360" w:lineRule="auto"/>
        <w:ind w:left="0" w:leftChars="0"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市场研究分析：对区域市场、重点板块、主要竞品的销售情况进行动态跟踪，定期出具市场报告，提供市场策略建议；</w:t>
      </w:r>
    </w:p>
    <w:p w14:paraId="49B1912B">
      <w:pPr>
        <w:pageBreakBefore w:val="0"/>
        <w:widowControl w:val="0"/>
        <w:numPr>
          <w:ilvl w:val="0"/>
          <w:numId w:val="7"/>
        </w:numPr>
        <w:shd w:val="clear"/>
        <w:kinsoku/>
        <w:wordWrap/>
        <w:overflowPunct/>
        <w:topLinePunct w:val="0"/>
        <w:bidi w:val="0"/>
        <w:adjustRightInd/>
        <w:spacing w:before="0" w:after="0" w:afterLines="0" w:line="360" w:lineRule="auto"/>
        <w:ind w:left="0" w:leftChars="0"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营销团队组建：根据乙方的管理经验，建立符合项目需求的营销团队、制定相关管理制度，并在销售期内完成甲方对乙方要求的销售工作；</w:t>
      </w:r>
    </w:p>
    <w:p w14:paraId="3F1F8460">
      <w:pPr>
        <w:pageBreakBefore w:val="0"/>
        <w:widowControl w:val="0"/>
        <w:numPr>
          <w:ilvl w:val="0"/>
          <w:numId w:val="7"/>
        </w:numPr>
        <w:shd w:val="clear"/>
        <w:kinsoku/>
        <w:wordWrap/>
        <w:overflowPunct/>
        <w:topLinePunct w:val="0"/>
        <w:bidi w:val="0"/>
        <w:adjustRightInd/>
        <w:spacing w:before="0" w:after="0" w:afterLines="0" w:line="360" w:lineRule="auto"/>
        <w:ind w:left="0" w:leftChars="0"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销售流程管理：包括认购、签约、按揭、退房、换房、加名减名、抵押登记、验收交房等；</w:t>
      </w:r>
    </w:p>
    <w:p w14:paraId="5B3DF91B">
      <w:pPr>
        <w:pageBreakBefore w:val="0"/>
        <w:widowControl w:val="0"/>
        <w:numPr>
          <w:ilvl w:val="0"/>
          <w:numId w:val="7"/>
        </w:numPr>
        <w:shd w:val="clear"/>
        <w:kinsoku/>
        <w:wordWrap/>
        <w:overflowPunct/>
        <w:topLinePunct w:val="0"/>
        <w:bidi w:val="0"/>
        <w:adjustRightInd/>
        <w:spacing w:before="0" w:after="0" w:afterLines="0" w:line="360" w:lineRule="auto"/>
        <w:ind w:left="0" w:leftChars="0"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销售数据管理：包括客户判定、客户信息管理、合同档案管理等日常工作；</w:t>
      </w:r>
    </w:p>
    <w:p w14:paraId="789DEE63">
      <w:pPr>
        <w:pageBreakBefore w:val="0"/>
        <w:widowControl w:val="0"/>
        <w:numPr>
          <w:ilvl w:val="0"/>
          <w:numId w:val="7"/>
        </w:numPr>
        <w:shd w:val="clear"/>
        <w:kinsoku/>
        <w:wordWrap/>
        <w:overflowPunct/>
        <w:topLinePunct w:val="0"/>
        <w:bidi w:val="0"/>
        <w:adjustRightInd/>
        <w:spacing w:before="0" w:after="0" w:afterLines="0" w:line="360" w:lineRule="auto"/>
        <w:ind w:left="0" w:leftChars="0"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客户关系维护：乙方须在服务期内对销售工作进行风险控制管理，并有效处理服务期内客户涉及营销服务范围内的投诉以提升客户满意度；</w:t>
      </w:r>
    </w:p>
    <w:p w14:paraId="16206535">
      <w:pPr>
        <w:pageBreakBefore w:val="0"/>
        <w:widowControl w:val="0"/>
        <w:numPr>
          <w:ilvl w:val="0"/>
          <w:numId w:val="7"/>
        </w:numPr>
        <w:shd w:val="clear"/>
        <w:kinsoku/>
        <w:wordWrap/>
        <w:overflowPunct/>
        <w:topLinePunct w:val="0"/>
        <w:bidi w:val="0"/>
        <w:adjustRightInd/>
        <w:spacing w:line="360" w:lineRule="auto"/>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房屋交付工作：项目交付时，乙方须配合甲方完成本案的房屋交付工作。</w:t>
      </w:r>
    </w:p>
    <w:p w14:paraId="7FFF4D1A">
      <w:pPr>
        <w:pageBreakBefore w:val="0"/>
        <w:widowControl w:val="0"/>
        <w:shd w:val="clear"/>
        <w:tabs>
          <w:tab w:val="left" w:pos="1824"/>
        </w:tabs>
        <w:kinsoku/>
        <w:wordWrap/>
        <w:overflowPunct/>
        <w:topLinePunct w:val="0"/>
        <w:bidi w:val="0"/>
        <w:adjustRightInd/>
        <w:spacing w:line="360" w:lineRule="auto"/>
        <w:ind w:right="0" w:firstLine="428" w:firstLineChars="20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（二）服务期限</w:t>
      </w:r>
    </w:p>
    <w:p w14:paraId="24EA31FD">
      <w:pPr>
        <w:pageBreakBefore w:val="0"/>
        <w:widowControl w:val="0"/>
        <w:numPr>
          <w:ilvl w:val="0"/>
          <w:numId w:val="8"/>
        </w:numPr>
        <w:shd w:val="clear"/>
        <w:tabs>
          <w:tab w:val="left" w:pos="1824"/>
        </w:tabs>
        <w:kinsoku/>
        <w:wordWrap/>
        <w:overflowPunct/>
        <w:topLinePunct w:val="0"/>
        <w:bidi w:val="0"/>
        <w:adjustRightInd/>
        <w:spacing w:line="360" w:lineRule="auto"/>
        <w:ind w:left="0" w:leftChars="0" w:right="0" w:firstLine="428" w:firstLineChars="20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本合同的营销服务期限</w:t>
      </w:r>
      <w:r>
        <w:rPr>
          <w:rFonts w:hint="eastAsia" w:ascii="宋体" w:hAnsi="宋体" w:cs="宋体"/>
          <w:color w:val="auto"/>
          <w:spacing w:val="2"/>
          <w:sz w:val="21"/>
          <w:szCs w:val="21"/>
          <w:highlight w:val="none"/>
          <w:lang w:eastAsia="zh-CN"/>
        </w:rPr>
        <w:t>自甲方书面通知进场之日起</w:t>
      </w:r>
      <w:r>
        <w:rPr>
          <w:rFonts w:hint="eastAsia" w:ascii="宋体" w:hAnsi="宋体" w:eastAsia="宋体" w:cs="宋体"/>
          <w:color w:val="auto"/>
          <w:spacing w:val="2"/>
          <w:sz w:val="21"/>
          <w:szCs w:val="21"/>
          <w:highlight w:val="none"/>
        </w:rPr>
        <w:t>至本项目最后一批住宅集中交付后1个月截止（不超过36个月）。</w:t>
      </w:r>
    </w:p>
    <w:p w14:paraId="2FA9BB8B">
      <w:pPr>
        <w:pStyle w:val="20"/>
        <w:pageBreakBefore w:val="0"/>
        <w:shd w:val="clear"/>
        <w:kinsoku/>
        <w:wordWrap/>
        <w:overflowPunct/>
        <w:topLinePunct w:val="0"/>
        <w:bidi w:val="0"/>
        <w:adjustRightInd/>
        <w:spacing w:line="500" w:lineRule="exact"/>
        <w:ind w:firstLine="428" w:firstLineChars="200"/>
        <w:outlineLvl w:val="9"/>
        <w:rPr>
          <w:rFonts w:hint="eastAsia"/>
          <w:color w:val="auto"/>
          <w:highlight w:val="none"/>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lang w:eastAsia="zh-CN"/>
        </w:rPr>
        <w:t>）</w:t>
      </w:r>
      <w:r>
        <w:rPr>
          <w:rFonts w:hint="eastAsia" w:hAnsi="宋体" w:cs="宋体"/>
          <w:color w:val="auto"/>
          <w:spacing w:val="2"/>
          <w:sz w:val="21"/>
          <w:szCs w:val="21"/>
          <w:highlight w:val="none"/>
          <w:lang w:val="en-US" w:eastAsia="zh-CN"/>
        </w:rPr>
        <w:t>服务期限内，如遇开发节奏调整、政策性影响等情况，甲方有权以书面形式通知乙方提前解除合同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该情况下甲乙双方均不构成违约，且</w:t>
      </w:r>
      <w:r>
        <w:rPr>
          <w:rFonts w:hint="eastAsia" w:ascii="宋体" w:hAnsi="宋体" w:eastAsia="宋体" w:cs="宋体"/>
          <w:color w:val="auto"/>
          <w:sz w:val="21"/>
          <w:szCs w:val="21"/>
          <w:highlight w:val="none"/>
        </w:rPr>
        <w:t>无需因此向</w:t>
      </w:r>
      <w:r>
        <w:rPr>
          <w:rFonts w:hint="eastAsia" w:ascii="宋体" w:hAnsi="宋体" w:eastAsia="宋体" w:cs="宋体"/>
          <w:color w:val="auto"/>
          <w:sz w:val="21"/>
          <w:szCs w:val="21"/>
          <w:highlight w:val="none"/>
          <w:lang w:val="en-US" w:eastAsia="zh-CN"/>
        </w:rPr>
        <w:t>对方</w:t>
      </w:r>
      <w:r>
        <w:rPr>
          <w:rFonts w:hint="eastAsia" w:ascii="宋体" w:hAnsi="宋体" w:eastAsia="宋体" w:cs="宋体"/>
          <w:color w:val="auto"/>
          <w:sz w:val="21"/>
          <w:szCs w:val="21"/>
          <w:highlight w:val="none"/>
        </w:rPr>
        <w:t>支付补偿或赔偿。</w:t>
      </w:r>
    </w:p>
    <w:p w14:paraId="0AF28600">
      <w:pPr>
        <w:pStyle w:val="20"/>
        <w:pageBreakBefore w:val="0"/>
        <w:shd w:val="clear"/>
        <w:kinsoku/>
        <w:wordWrap/>
        <w:overflowPunct/>
        <w:topLinePunct w:val="0"/>
        <w:bidi w:val="0"/>
        <w:adjustRightInd/>
        <w:spacing w:line="500" w:lineRule="exact"/>
        <w:ind w:firstLine="420" w:firstLineChars="200"/>
        <w:outlineLvl w:val="9"/>
        <w:rPr>
          <w:rFonts w:hint="eastAsia" w:ascii="宋体" w:hAnsi="宋体" w:eastAsia="宋体" w:cs="宋体"/>
          <w:color w:val="auto"/>
          <w:spacing w:val="2"/>
          <w:sz w:val="21"/>
          <w:szCs w:val="21"/>
          <w:highlight w:val="none"/>
        </w:rPr>
      </w:pPr>
      <w:r>
        <w:rPr>
          <w:rFonts w:hint="eastAsia" w:ascii="宋体" w:hAnsi="宋体" w:eastAsia="宋体"/>
          <w:color w:val="auto"/>
          <w:sz w:val="21"/>
          <w:szCs w:val="21"/>
          <w:highlight w:val="none"/>
          <w:lang w:eastAsia="zh-CN"/>
        </w:rPr>
        <w:t>（</w:t>
      </w:r>
      <w:r>
        <w:rPr>
          <w:rFonts w:hint="eastAsia" w:ascii="Times New Roman" w:hAnsi="Times New Roman" w:eastAsia="宋体"/>
          <w:color w:val="auto"/>
          <w:sz w:val="21"/>
          <w:szCs w:val="21"/>
          <w:highlight w:val="none"/>
          <w:lang w:val="en-US" w:eastAsia="zh-CN"/>
        </w:rPr>
        <w:t>2</w:t>
      </w:r>
      <w:r>
        <w:rPr>
          <w:rFonts w:hint="eastAsia" w:ascii="宋体" w:hAnsi="宋体" w:eastAsia="宋体"/>
          <w:color w:val="auto"/>
          <w:sz w:val="21"/>
          <w:szCs w:val="21"/>
          <w:highlight w:val="none"/>
          <w:lang w:eastAsia="zh-CN"/>
        </w:rPr>
        <w:t>）</w:t>
      </w:r>
      <w:r>
        <w:rPr>
          <w:rFonts w:hint="eastAsia" w:ascii="宋体" w:hAnsi="宋体" w:eastAsia="宋体" w:cs="宋体"/>
          <w:color w:val="auto"/>
          <w:spacing w:val="2"/>
          <w:sz w:val="21"/>
          <w:szCs w:val="21"/>
          <w:highlight w:val="none"/>
        </w:rPr>
        <w:t>服务期限届满，乙方有权终止营销服务工作并撤出全部管理团队，甲方应予以配合并完成交接工作。</w:t>
      </w:r>
    </w:p>
    <w:p w14:paraId="6F8AA869">
      <w:pPr>
        <w:pageBreakBefore w:val="0"/>
        <w:widowControl w:val="0"/>
        <w:numPr>
          <w:ilvl w:val="0"/>
          <w:numId w:val="8"/>
        </w:numPr>
        <w:shd w:val="clear"/>
        <w:tabs>
          <w:tab w:val="left" w:pos="1824"/>
        </w:tabs>
        <w:kinsoku/>
        <w:wordWrap/>
        <w:overflowPunct/>
        <w:topLinePunct w:val="0"/>
        <w:bidi w:val="0"/>
        <w:adjustRightInd/>
        <w:spacing w:line="360" w:lineRule="auto"/>
        <w:ind w:left="0" w:leftChars="0" w:right="0" w:firstLine="428" w:firstLineChars="20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如本合同服务期限到期后本项目仍未销售完毕或交付时间延长的，根据项目销售需要，应甲方要求并由甲乙双方协商一致后，可延长项目服务期，届时根据延长期间的工作内容，由甲乙双方另行签订书面合同约定具体的服务内容及取费方式。</w:t>
      </w:r>
    </w:p>
    <w:p w14:paraId="37F6F753">
      <w:pPr>
        <w:keepNext/>
        <w:keepLines/>
        <w:pageBreakBefore w:val="0"/>
        <w:widowControl w:val="0"/>
        <w:shd w:val="clear"/>
        <w:kinsoku/>
        <w:wordWrap/>
        <w:overflowPunct/>
        <w:topLinePunct w:val="0"/>
        <w:bidi w:val="0"/>
        <w:adjustRightInd/>
        <w:spacing w:line="360" w:lineRule="auto"/>
        <w:ind w:left="0" w:right="0" w:firstLine="422" w:firstLineChars="200"/>
        <w:jc w:val="both"/>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第四条 营销代理服务要求</w:t>
      </w:r>
    </w:p>
    <w:p w14:paraId="18BEBA17">
      <w:pPr>
        <w:pageBreakBefore w:val="0"/>
        <w:widowControl w:val="0"/>
        <w:shd w:val="clear"/>
        <w:kinsoku/>
        <w:wordWrap/>
        <w:overflowPunct/>
        <w:topLinePunct w:val="0"/>
        <w:bidi w:val="0"/>
        <w:adjustRightInd/>
        <w:spacing w:before="0" w:after="0" w:afterLines="0" w:line="360" w:lineRule="auto"/>
        <w:ind w:right="0" w:firstLine="428" w:firstLineChars="200"/>
        <w:jc w:val="both"/>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本合同生效后，自接到甲方通知5日内乙方派驻首批营销团队，首批营销团队到岗后15日内将项目整盘营销策划管理及推售方案提交甲方确认（包括项目首次开盘销售计划）</w:t>
      </w:r>
      <w:r>
        <w:rPr>
          <w:rFonts w:hint="eastAsia" w:ascii="宋体" w:hAnsi="宋体" w:eastAsia="宋体" w:cs="宋体"/>
          <w:color w:val="auto"/>
          <w:spacing w:val="-3"/>
          <w:kern w:val="2"/>
          <w:sz w:val="21"/>
          <w:szCs w:val="21"/>
          <w:highlight w:val="none"/>
          <w:lang w:val="en-US" w:eastAsia="zh-CN" w:bidi="ar-SA"/>
        </w:rPr>
        <w:t>，</w:t>
      </w:r>
      <w:r>
        <w:rPr>
          <w:rFonts w:hint="eastAsia" w:ascii="宋体" w:hAnsi="宋体" w:eastAsia="宋体" w:cs="宋体"/>
          <w:color w:val="auto"/>
          <w:spacing w:val="2"/>
          <w:kern w:val="2"/>
          <w:sz w:val="21"/>
          <w:szCs w:val="21"/>
          <w:highlight w:val="none"/>
          <w:lang w:val="en-US" w:eastAsia="zh-CN" w:bidi="ar-SA"/>
        </w:rPr>
        <w:t>作为项目服务期内销售考核制定的参考依据。</w:t>
      </w:r>
    </w:p>
    <w:p w14:paraId="78B11F14">
      <w:pPr>
        <w:pageBreakBefore w:val="0"/>
        <w:widowControl w:val="0"/>
        <w:shd w:val="clear"/>
        <w:kinsoku/>
        <w:wordWrap/>
        <w:overflowPunct/>
        <w:topLinePunct w:val="0"/>
        <w:bidi w:val="0"/>
        <w:adjustRightInd/>
        <w:spacing w:before="0" w:after="0" w:afterLines="0" w:line="360" w:lineRule="auto"/>
        <w:ind w:right="0" w:firstLine="428" w:firstLineChars="200"/>
        <w:jc w:val="both"/>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（一）本项目分期销售，预计项目在取得施工许可证（注：如项目停滞，则须按实际情况约定开工参照节点）后【6】个月内具备领取预售许可证的前置条件，具体开盘时间以甲方正式确认的开盘方案为准。</w:t>
      </w:r>
    </w:p>
    <w:p w14:paraId="149DB0D5">
      <w:pPr>
        <w:pageBreakBefore w:val="0"/>
        <w:widowControl w:val="0"/>
        <w:shd w:val="clear"/>
        <w:kinsoku/>
        <w:wordWrap/>
        <w:overflowPunct/>
        <w:topLinePunct w:val="0"/>
        <w:bidi w:val="0"/>
        <w:adjustRightInd/>
        <w:spacing w:before="0" w:after="0" w:afterLines="0" w:line="360" w:lineRule="auto"/>
        <w:ind w:right="0" w:firstLine="428" w:firstLineChars="200"/>
        <w:jc w:val="both"/>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（二）项目首开前【30】日，乙方应结合全盘销售计划提交详细的首开销售计划、销售平均底价、销售折扣政策，经双方确认后作为考核依据，该首开销售计划作为合同附件，与本合同具备等同法律效力。</w:t>
      </w:r>
    </w:p>
    <w:p w14:paraId="5B53BABD">
      <w:pPr>
        <w:pageBreakBefore w:val="0"/>
        <w:widowControl w:val="0"/>
        <w:shd w:val="clear"/>
        <w:kinsoku/>
        <w:wordWrap/>
        <w:overflowPunct/>
        <w:topLinePunct w:val="0"/>
        <w:bidi w:val="0"/>
        <w:adjustRightInd/>
        <w:spacing w:before="0" w:after="0" w:afterLines="0" w:line="360" w:lineRule="auto"/>
        <w:ind w:right="0" w:firstLine="428" w:firstLineChars="200"/>
        <w:jc w:val="both"/>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（三）乙方可根据上一批次销售情况制定后续批次详细销售计划,并在每批次销售前【15】日提交甲方签字确认，作为后续批次的考核依据。</w:t>
      </w:r>
    </w:p>
    <w:p w14:paraId="54C10592">
      <w:pPr>
        <w:pStyle w:val="166"/>
        <w:pageBreakBefore w:val="0"/>
        <w:shd w:val="clear"/>
        <w:tabs>
          <w:tab w:val="left" w:pos="1824"/>
        </w:tabs>
        <w:kinsoku/>
        <w:wordWrap/>
        <w:overflowPunct/>
        <w:topLinePunct w:val="0"/>
        <w:bidi w:val="0"/>
        <w:adjustRightInd/>
        <w:spacing w:line="500" w:lineRule="exact"/>
        <w:ind w:left="0" w:firstLine="428" w:firstLineChars="200"/>
        <w:outlineLvl w:val="9"/>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lang w:val="en-US" w:eastAsia="zh-CN"/>
        </w:rPr>
        <w:t>四</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lang w:val="en-US" w:eastAsia="zh-CN"/>
        </w:rPr>
        <w:t>乙方根据甲方下发的年度销售指标铺排工作，年度指标达成率作为考核评分的重要衡量标准。</w:t>
      </w:r>
    </w:p>
    <w:p w14:paraId="22332D34">
      <w:pPr>
        <w:keepNext/>
        <w:keepLines/>
        <w:pageBreakBefore w:val="0"/>
        <w:widowControl w:val="0"/>
        <w:shd w:val="clear"/>
        <w:kinsoku/>
        <w:wordWrap/>
        <w:overflowPunct/>
        <w:topLinePunct w:val="0"/>
        <w:bidi w:val="0"/>
        <w:adjustRightInd/>
        <w:spacing w:line="360" w:lineRule="auto"/>
        <w:ind w:left="0" w:right="0" w:firstLine="422" w:firstLineChars="200"/>
        <w:jc w:val="both"/>
        <w:textAlignment w:val="auto"/>
        <w:outlineLvl w:val="9"/>
        <w:rPr>
          <w:rFonts w:hint="default"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第五条 合同费用组成及</w:t>
      </w:r>
      <w:r>
        <w:rPr>
          <w:rFonts w:hint="eastAsia" w:ascii="宋体" w:hAnsi="宋体" w:cs="宋体"/>
          <w:b/>
          <w:bCs/>
          <w:color w:val="auto"/>
          <w:kern w:val="0"/>
          <w:sz w:val="21"/>
          <w:szCs w:val="21"/>
          <w:highlight w:val="none"/>
          <w:lang w:val="en-US" w:eastAsia="zh-CN" w:bidi="ar-SA"/>
        </w:rPr>
        <w:t>支付方式</w:t>
      </w:r>
    </w:p>
    <w:p w14:paraId="0DB8AA01">
      <w:pPr>
        <w:pageBreakBefore w:val="0"/>
        <w:widowControl w:val="0"/>
        <w:shd w:val="clear"/>
        <w:kinsoku/>
        <w:wordWrap/>
        <w:overflowPunct/>
        <w:topLinePunct w:val="0"/>
        <w:autoSpaceDE w:val="0"/>
        <w:autoSpaceDN w:val="0"/>
        <w:bidi w:val="0"/>
        <w:adjustRightInd/>
        <w:spacing w:line="360" w:lineRule="auto"/>
        <w:ind w:right="0" w:firstLine="420" w:firstLineChars="200"/>
        <w:contextualSpacing/>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营销代理服务费组成</w:t>
      </w:r>
    </w:p>
    <w:p w14:paraId="71FC2694">
      <w:pPr>
        <w:pageBreakBefore w:val="0"/>
        <w:widowControl w:val="0"/>
        <w:shd w:val="clear"/>
        <w:kinsoku/>
        <w:wordWrap/>
        <w:overflowPunct/>
        <w:topLinePunct w:val="0"/>
        <w:autoSpaceDE w:val="0"/>
        <w:autoSpaceDN w:val="0"/>
        <w:bidi w:val="0"/>
        <w:adjustRightInd/>
        <w:spacing w:line="360" w:lineRule="auto"/>
        <w:ind w:right="0" w:firstLine="420" w:firstLineChars="200"/>
        <w:contextualSpacing/>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本合同暂定服务费用总价</w:t>
      </w:r>
      <w:r>
        <w:rPr>
          <w:rFonts w:hint="eastAsia" w:ascii="宋体" w:hAnsi="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，其中不含税总价</w:t>
      </w:r>
      <w:r>
        <w:rPr>
          <w:rFonts w:hint="eastAsia" w:ascii="宋体" w:hAnsi="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，税金</w:t>
      </w:r>
      <w:r>
        <w:rPr>
          <w:rFonts w:hint="eastAsia" w:ascii="宋体" w:hAnsi="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（增值税专用发票，税率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%）。由</w:t>
      </w:r>
      <w:r>
        <w:rPr>
          <w:rFonts w:hint="eastAsia" w:ascii="宋体" w:hAnsi="宋体" w:cs="宋体"/>
          <w:color w:val="auto"/>
          <w:sz w:val="21"/>
          <w:szCs w:val="21"/>
          <w:highlight w:val="none"/>
          <w:lang w:val="en-US" w:eastAsia="zh-CN"/>
        </w:rPr>
        <w:t>基本服务费</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销售佣金</w:t>
      </w:r>
      <w:r>
        <w:rPr>
          <w:rFonts w:hint="eastAsia" w:ascii="宋体" w:hAnsi="宋体" w:cs="宋体"/>
          <w:color w:val="auto"/>
          <w:sz w:val="21"/>
          <w:szCs w:val="21"/>
          <w:highlight w:val="none"/>
        </w:rPr>
        <w:t>构成</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其中：</w:t>
      </w:r>
    </w:p>
    <w:p w14:paraId="176449CB">
      <w:pPr>
        <w:pageBreakBefore w:val="0"/>
        <w:widowControl w:val="0"/>
        <w:numPr>
          <w:ilvl w:val="0"/>
          <w:numId w:val="9"/>
        </w:numPr>
        <w:shd w:val="clear"/>
        <w:kinsoku/>
        <w:wordWrap/>
        <w:overflowPunct/>
        <w:topLinePunct w:val="0"/>
        <w:autoSpaceDE w:val="0"/>
        <w:autoSpaceDN w:val="0"/>
        <w:bidi w:val="0"/>
        <w:adjustRightInd/>
        <w:spacing w:line="360" w:lineRule="auto"/>
        <w:ind w:left="0" w:leftChars="0" w:right="0" w:firstLine="428" w:firstLineChars="200"/>
        <w:contextualSpacing/>
        <w:jc w:val="left"/>
        <w:textAlignment w:val="auto"/>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rPr>
        <w:t>基本</w:t>
      </w:r>
      <w:r>
        <w:rPr>
          <w:rFonts w:hint="eastAsia" w:ascii="宋体" w:hAnsi="宋体" w:eastAsia="宋体" w:cs="宋体"/>
          <w:color w:val="auto"/>
          <w:spacing w:val="2"/>
          <w:sz w:val="21"/>
          <w:szCs w:val="21"/>
          <w:highlight w:val="none"/>
          <w:lang w:val="en-US" w:eastAsia="zh-CN"/>
        </w:rPr>
        <w:t>服务</w:t>
      </w:r>
      <w:r>
        <w:rPr>
          <w:rFonts w:hint="eastAsia" w:ascii="宋体" w:hAnsi="宋体" w:eastAsia="宋体" w:cs="宋体"/>
          <w:color w:val="auto"/>
          <w:spacing w:val="2"/>
          <w:sz w:val="21"/>
          <w:szCs w:val="21"/>
          <w:highlight w:val="none"/>
        </w:rPr>
        <w:t>费用</w:t>
      </w:r>
      <w:r>
        <w:rPr>
          <w:rFonts w:hint="eastAsia" w:ascii="宋体" w:hAnsi="宋体" w:cs="宋体"/>
          <w:color w:val="auto"/>
          <w:sz w:val="21"/>
          <w:szCs w:val="21"/>
          <w:highlight w:val="none"/>
        </w:rPr>
        <w:t>暂定</w:t>
      </w:r>
      <w:r>
        <w:rPr>
          <w:rFonts w:hint="eastAsia" w:ascii="宋体" w:hAnsi="宋体" w:eastAsia="宋体" w:cs="宋体"/>
          <w:color w:val="auto"/>
          <w:spacing w:val="-3"/>
          <w:sz w:val="21"/>
          <w:szCs w:val="21"/>
          <w:highlight w:val="none"/>
        </w:rPr>
        <w:t>含税</w:t>
      </w:r>
      <w:r>
        <w:rPr>
          <w:rFonts w:hint="eastAsia" w:ascii="宋体" w:hAnsi="宋体" w:eastAsia="宋体" w:cs="宋体"/>
          <w:color w:val="auto"/>
          <w:sz w:val="21"/>
          <w:szCs w:val="21"/>
          <w:highlight w:val="none"/>
        </w:rPr>
        <w:t>合同</w:t>
      </w:r>
      <w:r>
        <w:rPr>
          <w:rFonts w:hint="eastAsia" w:ascii="宋体" w:hAnsi="宋体" w:eastAsia="宋体" w:cs="宋体"/>
          <w:color w:val="auto"/>
          <w:spacing w:val="-3"/>
          <w:sz w:val="21"/>
          <w:szCs w:val="21"/>
          <w:highlight w:val="none"/>
        </w:rPr>
        <w:t>价</w:t>
      </w:r>
      <w:r>
        <w:rPr>
          <w:rFonts w:hint="eastAsia" w:ascii="宋体" w:hAnsi="宋体" w:eastAsia="宋体" w:cs="宋体"/>
          <w:color w:val="auto"/>
          <w:sz w:val="21"/>
          <w:szCs w:val="21"/>
          <w:highlight w:val="none"/>
        </w:rPr>
        <w:t>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z w:val="21"/>
          <w:szCs w:val="21"/>
          <w:highlight w:val="none"/>
        </w:rPr>
        <w:t>暂</w:t>
      </w:r>
      <w:r>
        <w:rPr>
          <w:rFonts w:hint="eastAsia" w:ascii="宋体" w:hAnsi="宋体" w:eastAsia="宋体" w:cs="宋体"/>
          <w:color w:val="auto"/>
          <w:sz w:val="21"/>
          <w:szCs w:val="21"/>
          <w:highlight w:val="none"/>
          <w:lang w:val="en-US" w:eastAsia="zh-CN"/>
        </w:rPr>
        <w:t>按月基本服务费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36】个月</w:t>
      </w:r>
      <w:r>
        <w:rPr>
          <w:rFonts w:hint="eastAsia" w:ascii="宋体" w:hAnsi="宋体" w:eastAsia="宋体" w:cs="宋体"/>
          <w:color w:val="auto"/>
          <w:spacing w:val="-3"/>
          <w:sz w:val="21"/>
          <w:szCs w:val="21"/>
          <w:highlight w:val="none"/>
        </w:rPr>
        <w:t>计取</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2"/>
          <w:sz w:val="21"/>
          <w:szCs w:val="21"/>
          <w:highlight w:val="none"/>
          <w:lang w:val="en-US" w:eastAsia="zh-CN"/>
        </w:rPr>
        <w:t>包含人员基本费（即项目</w:t>
      </w:r>
      <w:r>
        <w:rPr>
          <w:rFonts w:hint="eastAsia" w:ascii="宋体" w:hAnsi="宋体" w:eastAsia="宋体" w:cs="宋体"/>
          <w:color w:val="auto"/>
          <w:spacing w:val="2"/>
          <w:sz w:val="21"/>
          <w:szCs w:val="21"/>
          <w:highlight w:val="none"/>
        </w:rPr>
        <w:t>营销人员及</w:t>
      </w:r>
      <w:r>
        <w:rPr>
          <w:rFonts w:hint="eastAsia" w:ascii="宋体" w:hAnsi="宋体" w:eastAsia="宋体" w:cs="宋体"/>
          <w:color w:val="auto"/>
          <w:spacing w:val="2"/>
          <w:sz w:val="21"/>
          <w:szCs w:val="21"/>
          <w:highlight w:val="none"/>
          <w:lang w:val="en-US" w:eastAsia="zh-CN"/>
        </w:rPr>
        <w:t>乙方</w:t>
      </w:r>
      <w:r>
        <w:rPr>
          <w:rFonts w:hint="eastAsia" w:ascii="宋体" w:hAnsi="宋体" w:eastAsia="宋体" w:cs="宋体"/>
          <w:color w:val="auto"/>
          <w:spacing w:val="2"/>
          <w:sz w:val="21"/>
          <w:szCs w:val="21"/>
          <w:highlight w:val="none"/>
        </w:rPr>
        <w:t>后台人员</w:t>
      </w:r>
      <w:r>
        <w:rPr>
          <w:rFonts w:hint="eastAsia" w:ascii="宋体" w:hAnsi="宋体" w:cs="宋体"/>
          <w:color w:val="auto"/>
          <w:spacing w:val="2"/>
          <w:sz w:val="21"/>
          <w:szCs w:val="21"/>
          <w:highlight w:val="none"/>
          <w:lang w:eastAsia="zh-CN"/>
        </w:rPr>
        <w:t>基础薪酬、各项福利补贴、年终奖、社保费、公积金、员工培训费、通讯费、差旅费、服装费等</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w:t>
      </w:r>
      <w:r>
        <w:rPr>
          <w:rFonts w:hint="eastAsia" w:ascii="宋体" w:hAnsi="宋体" w:eastAsia="宋体" w:cs="宋体"/>
          <w:color w:val="auto"/>
          <w:spacing w:val="2"/>
          <w:sz w:val="21"/>
          <w:szCs w:val="21"/>
          <w:highlight w:val="none"/>
        </w:rPr>
        <w:t>行政办公费用</w:t>
      </w:r>
      <w:r>
        <w:rPr>
          <w:rFonts w:hint="eastAsia" w:ascii="宋体" w:hAnsi="宋体" w:eastAsia="宋体" w:cs="宋体"/>
          <w:color w:val="auto"/>
          <w:spacing w:val="2"/>
          <w:sz w:val="21"/>
          <w:szCs w:val="21"/>
          <w:highlight w:val="none"/>
          <w:lang w:eastAsia="zh-CN"/>
        </w:rPr>
        <w:t>（</w:t>
      </w:r>
      <w:r>
        <w:rPr>
          <w:rFonts w:hint="eastAsia" w:ascii="宋体" w:hAnsi="宋体" w:cs="宋体"/>
          <w:color w:val="auto"/>
          <w:spacing w:val="2"/>
          <w:sz w:val="21"/>
          <w:szCs w:val="21"/>
          <w:highlight w:val="none"/>
          <w:lang w:val="en-US" w:eastAsia="zh-CN"/>
        </w:rPr>
        <w:t>办公设备（电脑、打印机等）、</w:t>
      </w:r>
      <w:r>
        <w:rPr>
          <w:rFonts w:hint="eastAsia" w:ascii="宋体" w:hAnsi="宋体" w:eastAsia="宋体" w:cs="宋体"/>
          <w:color w:val="auto"/>
          <w:spacing w:val="2"/>
          <w:sz w:val="21"/>
          <w:szCs w:val="21"/>
          <w:highlight w:val="none"/>
        </w:rPr>
        <w:t>办公耗材（</w:t>
      </w:r>
      <w:r>
        <w:rPr>
          <w:rFonts w:hint="eastAsia" w:ascii="宋体" w:hAnsi="宋体" w:eastAsia="宋体" w:cs="宋体"/>
          <w:color w:val="auto"/>
          <w:spacing w:val="2"/>
          <w:sz w:val="21"/>
          <w:szCs w:val="21"/>
          <w:highlight w:val="none"/>
          <w:lang w:val="en-US" w:eastAsia="zh-CN"/>
        </w:rPr>
        <w:t>售楼处的</w:t>
      </w:r>
      <w:r>
        <w:rPr>
          <w:rFonts w:hint="eastAsia" w:ascii="宋体" w:hAnsi="宋体" w:eastAsia="宋体" w:cs="宋体"/>
          <w:color w:val="auto"/>
          <w:spacing w:val="2"/>
          <w:sz w:val="21"/>
          <w:szCs w:val="21"/>
          <w:highlight w:val="none"/>
        </w:rPr>
        <w:t>办公文具、</w:t>
      </w:r>
      <w:r>
        <w:rPr>
          <w:rFonts w:hint="eastAsia" w:ascii="宋体" w:hAnsi="宋体" w:eastAsia="宋体" w:cs="宋体"/>
          <w:color w:val="auto"/>
          <w:spacing w:val="2"/>
          <w:sz w:val="21"/>
          <w:szCs w:val="21"/>
          <w:highlight w:val="none"/>
          <w:lang w:val="en-US" w:eastAsia="zh-CN"/>
        </w:rPr>
        <w:t>打印</w:t>
      </w:r>
      <w:r>
        <w:rPr>
          <w:rFonts w:hint="eastAsia" w:ascii="宋体" w:hAnsi="宋体" w:eastAsia="宋体" w:cs="宋体"/>
          <w:color w:val="auto"/>
          <w:spacing w:val="2"/>
          <w:sz w:val="21"/>
          <w:szCs w:val="21"/>
          <w:highlight w:val="none"/>
        </w:rPr>
        <w:t>纸张、</w:t>
      </w:r>
      <w:r>
        <w:rPr>
          <w:rFonts w:hint="eastAsia" w:ascii="宋体" w:hAnsi="宋体" w:eastAsia="宋体" w:cs="宋体"/>
          <w:color w:val="auto"/>
          <w:spacing w:val="2"/>
          <w:sz w:val="21"/>
          <w:szCs w:val="21"/>
          <w:highlight w:val="none"/>
          <w:lang w:val="en-US" w:eastAsia="zh-CN"/>
        </w:rPr>
        <w:t>打印机墨盒等</w:t>
      </w:r>
      <w:r>
        <w:rPr>
          <w:rFonts w:hint="eastAsia" w:ascii="宋体" w:hAnsi="宋体" w:eastAsia="宋体" w:cs="宋体"/>
          <w:color w:val="auto"/>
          <w:spacing w:val="2"/>
          <w:sz w:val="21"/>
          <w:szCs w:val="21"/>
          <w:highlight w:val="none"/>
        </w:rPr>
        <w:t>）、劳保费用、工装等办公杂费</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及相应的管理费和税金</w:t>
      </w:r>
      <w:r>
        <w:rPr>
          <w:rFonts w:hint="eastAsia" w:ascii="宋体" w:hAnsi="宋体" w:eastAsia="宋体" w:cs="宋体"/>
          <w:color w:val="auto"/>
          <w:spacing w:val="2"/>
          <w:sz w:val="21"/>
          <w:szCs w:val="21"/>
          <w:highlight w:val="none"/>
        </w:rPr>
        <w:t>；基本</w:t>
      </w:r>
      <w:r>
        <w:rPr>
          <w:rFonts w:hint="eastAsia" w:ascii="宋体" w:hAnsi="宋体" w:eastAsia="宋体" w:cs="宋体"/>
          <w:color w:val="auto"/>
          <w:spacing w:val="2"/>
          <w:sz w:val="21"/>
          <w:szCs w:val="21"/>
          <w:highlight w:val="none"/>
          <w:lang w:val="en-US" w:eastAsia="zh-CN"/>
        </w:rPr>
        <w:t>服务</w:t>
      </w:r>
      <w:r>
        <w:rPr>
          <w:rFonts w:hint="eastAsia" w:ascii="宋体" w:hAnsi="宋体" w:eastAsia="宋体" w:cs="宋体"/>
          <w:color w:val="auto"/>
          <w:spacing w:val="2"/>
          <w:sz w:val="21"/>
          <w:szCs w:val="21"/>
          <w:highlight w:val="none"/>
        </w:rPr>
        <w:t>费用</w:t>
      </w:r>
      <w:r>
        <w:rPr>
          <w:rFonts w:hint="eastAsia" w:ascii="宋体" w:hAnsi="宋体" w:cs="宋体"/>
          <w:color w:val="auto"/>
          <w:sz w:val="21"/>
          <w:szCs w:val="21"/>
          <w:highlight w:val="none"/>
        </w:rPr>
        <w:t>固定全费用综合单价包干，</w:t>
      </w:r>
      <w:r>
        <w:rPr>
          <w:rFonts w:hint="eastAsia" w:ascii="宋体" w:hAnsi="宋体" w:cs="宋体"/>
          <w:color w:val="auto"/>
          <w:sz w:val="21"/>
          <w:szCs w:val="21"/>
          <w:highlight w:val="none"/>
          <w:lang w:eastAsia="zh-CN"/>
        </w:rPr>
        <w:t>甲方不再就上述内容支付任何其它费用</w:t>
      </w:r>
      <w:r>
        <w:rPr>
          <w:rFonts w:hint="eastAsia" w:ascii="宋体" w:hAnsi="宋体" w:cs="宋体"/>
          <w:color w:val="auto"/>
          <w:sz w:val="21"/>
          <w:szCs w:val="21"/>
          <w:highlight w:val="none"/>
        </w:rPr>
        <w:t>。甲方根据</w:t>
      </w:r>
      <w:r>
        <w:rPr>
          <w:rFonts w:hint="eastAsia" w:ascii="宋体" w:hAnsi="宋体" w:cs="宋体"/>
          <w:color w:val="auto"/>
          <w:sz w:val="21"/>
          <w:szCs w:val="21"/>
          <w:highlight w:val="none"/>
          <w:lang w:val="en-US" w:eastAsia="zh-CN"/>
        </w:rPr>
        <w:t>乙方每月</w:t>
      </w:r>
      <w:r>
        <w:rPr>
          <w:rFonts w:hint="eastAsia" w:ascii="宋体" w:hAnsi="宋体" w:cs="宋体"/>
          <w:color w:val="auto"/>
          <w:sz w:val="21"/>
          <w:szCs w:val="21"/>
          <w:highlight w:val="none"/>
        </w:rPr>
        <w:t>实际到岗</w:t>
      </w:r>
      <w:r>
        <w:rPr>
          <w:rFonts w:hint="eastAsia" w:ascii="宋体" w:hAnsi="宋体" w:cs="宋体"/>
          <w:color w:val="auto"/>
          <w:sz w:val="21"/>
          <w:szCs w:val="21"/>
          <w:highlight w:val="none"/>
          <w:lang w:val="en-US" w:eastAsia="zh-CN"/>
        </w:rPr>
        <w:t>人员</w:t>
      </w:r>
      <w:r>
        <w:rPr>
          <w:rFonts w:hint="eastAsia" w:ascii="宋体" w:hAnsi="宋体" w:cs="宋体"/>
          <w:color w:val="auto"/>
          <w:sz w:val="21"/>
          <w:szCs w:val="21"/>
          <w:highlight w:val="none"/>
        </w:rPr>
        <w:t>情况</w:t>
      </w:r>
      <w:r>
        <w:rPr>
          <w:rFonts w:hint="eastAsia" w:ascii="宋体" w:hAnsi="宋体" w:cs="宋体"/>
          <w:color w:val="auto"/>
          <w:sz w:val="21"/>
          <w:szCs w:val="21"/>
          <w:highlight w:val="none"/>
          <w:lang w:val="en-US" w:eastAsia="zh-CN"/>
        </w:rPr>
        <w:t>按实</w:t>
      </w:r>
      <w:r>
        <w:rPr>
          <w:rFonts w:hint="eastAsia" w:ascii="宋体" w:hAnsi="宋体" w:cs="宋体"/>
          <w:color w:val="auto"/>
          <w:sz w:val="21"/>
          <w:szCs w:val="21"/>
          <w:highlight w:val="none"/>
        </w:rPr>
        <w:t>结算支付</w:t>
      </w:r>
      <w:r>
        <w:rPr>
          <w:rFonts w:hint="eastAsia" w:ascii="宋体" w:hAnsi="宋体" w:cs="宋体"/>
          <w:color w:val="auto"/>
          <w:sz w:val="21"/>
          <w:szCs w:val="21"/>
          <w:highlight w:val="none"/>
          <w:lang w:val="en-US" w:eastAsia="zh-CN"/>
        </w:rPr>
        <w:t>月基本服务费，</w:t>
      </w:r>
      <w:r>
        <w:rPr>
          <w:rFonts w:hint="eastAsia" w:asciiTheme="minorEastAsia" w:hAnsiTheme="minorEastAsia" w:eastAsiaTheme="minorEastAsia"/>
          <w:color w:val="auto"/>
          <w:szCs w:val="21"/>
          <w:highlight w:val="none"/>
          <w:lang w:val="en-US" w:eastAsia="zh-CN"/>
        </w:rPr>
        <w:t>且结算金额不超过附表1月基本服务费合同签约价</w:t>
      </w:r>
      <w:r>
        <w:rPr>
          <w:rFonts w:hint="eastAsia" w:ascii="宋体" w:hAnsi="宋体" w:cs="宋体"/>
          <w:color w:val="auto"/>
          <w:sz w:val="21"/>
          <w:szCs w:val="21"/>
          <w:highlight w:val="none"/>
          <w:lang w:eastAsia="zh-CN"/>
        </w:rPr>
        <w:t>。</w:t>
      </w:r>
    </w:p>
    <w:p w14:paraId="4732F768">
      <w:pPr>
        <w:pageBreakBefore w:val="0"/>
        <w:widowControl w:val="0"/>
        <w:numPr>
          <w:ilvl w:val="0"/>
          <w:numId w:val="9"/>
        </w:numPr>
        <w:shd w:val="clear"/>
        <w:kinsoku/>
        <w:wordWrap/>
        <w:overflowPunct/>
        <w:topLinePunct w:val="0"/>
        <w:autoSpaceDE w:val="0"/>
        <w:autoSpaceDN w:val="0"/>
        <w:bidi w:val="0"/>
        <w:adjustRightInd/>
        <w:spacing w:line="360" w:lineRule="auto"/>
        <w:ind w:left="0" w:leftChars="0" w:right="0" w:firstLine="428" w:firstLineChars="200"/>
        <w:contextualSpacing/>
        <w:jc w:val="left"/>
        <w:textAlignment w:val="auto"/>
        <w:rPr>
          <w:rFonts w:hint="eastAsia" w:ascii="宋体" w:hAnsi="宋体" w:eastAsia="宋体" w:cs="宋体"/>
          <w:b w:val="0"/>
          <w:bCs w:val="0"/>
          <w:color w:val="auto"/>
          <w:spacing w:val="2"/>
          <w:kern w:val="2"/>
          <w:sz w:val="21"/>
          <w:szCs w:val="21"/>
          <w:highlight w:val="none"/>
          <w:lang w:val="en-US" w:eastAsia="zh-CN" w:bidi="ar-SA"/>
        </w:rPr>
      </w:pPr>
      <w:r>
        <w:rPr>
          <w:rFonts w:hint="eastAsia" w:ascii="宋体" w:hAnsi="宋体" w:eastAsia="宋体" w:cs="宋体"/>
          <w:color w:val="auto"/>
          <w:spacing w:val="2"/>
          <w:sz w:val="21"/>
          <w:szCs w:val="21"/>
          <w:highlight w:val="none"/>
        </w:rPr>
        <w:t>销售佣金</w:t>
      </w:r>
      <w:r>
        <w:rPr>
          <w:rFonts w:hint="eastAsia" w:ascii="宋体" w:hAnsi="宋体" w:cs="宋体"/>
          <w:color w:val="auto"/>
          <w:sz w:val="21"/>
          <w:szCs w:val="21"/>
          <w:highlight w:val="none"/>
        </w:rPr>
        <w:t>暂定</w:t>
      </w:r>
      <w:r>
        <w:rPr>
          <w:rFonts w:hint="eastAsia" w:ascii="宋体" w:hAnsi="宋体" w:eastAsia="宋体" w:cs="宋体"/>
          <w:color w:val="auto"/>
          <w:spacing w:val="-3"/>
          <w:sz w:val="21"/>
          <w:szCs w:val="21"/>
          <w:highlight w:val="none"/>
        </w:rPr>
        <w:t>含税</w:t>
      </w:r>
      <w:r>
        <w:rPr>
          <w:rFonts w:hint="eastAsia" w:ascii="宋体" w:hAnsi="宋体" w:eastAsia="宋体" w:cs="宋体"/>
          <w:color w:val="auto"/>
          <w:sz w:val="21"/>
          <w:szCs w:val="21"/>
          <w:highlight w:val="none"/>
        </w:rPr>
        <w:t>合同</w:t>
      </w:r>
      <w:r>
        <w:rPr>
          <w:rFonts w:hint="eastAsia" w:ascii="宋体" w:hAnsi="宋体" w:eastAsia="宋体" w:cs="宋体"/>
          <w:color w:val="auto"/>
          <w:spacing w:val="-3"/>
          <w:sz w:val="21"/>
          <w:szCs w:val="21"/>
          <w:highlight w:val="none"/>
        </w:rPr>
        <w:t>价</w:t>
      </w:r>
      <w:r>
        <w:rPr>
          <w:rFonts w:hint="eastAsia" w:ascii="宋体" w:hAnsi="宋体" w:eastAsia="宋体" w:cs="宋体"/>
          <w:color w:val="auto"/>
          <w:sz w:val="21"/>
          <w:szCs w:val="21"/>
          <w:highlight w:val="none"/>
        </w:rPr>
        <w:t>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暂按销售额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12亿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val="en-US" w:eastAsia="zh-CN"/>
        </w:rPr>
        <w:t>住宅佣金</w:t>
      </w:r>
      <w:r>
        <w:rPr>
          <w:rFonts w:hint="eastAsia" w:ascii="宋体" w:hAnsi="宋体" w:eastAsia="宋体" w:cs="宋体"/>
          <w:color w:val="auto"/>
          <w:sz w:val="21"/>
          <w:szCs w:val="21"/>
          <w:highlight w:val="none"/>
        </w:rPr>
        <w:t>费率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pacing w:val="-3"/>
          <w:sz w:val="21"/>
          <w:szCs w:val="21"/>
          <w:highlight w:val="none"/>
        </w:rPr>
        <w:t>%计取</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最终以实际</w:t>
      </w:r>
      <w:r>
        <w:rPr>
          <w:rFonts w:hint="eastAsia" w:ascii="宋体" w:hAnsi="宋体" w:eastAsia="宋体" w:cs="宋体"/>
          <w:color w:val="auto"/>
          <w:spacing w:val="2"/>
          <w:sz w:val="21"/>
          <w:szCs w:val="21"/>
          <w:highlight w:val="none"/>
        </w:rPr>
        <w:t>销售回款</w:t>
      </w:r>
      <w:r>
        <w:rPr>
          <w:rFonts w:hint="eastAsia" w:ascii="宋体" w:hAnsi="宋体" w:eastAsia="宋体" w:cs="宋体"/>
          <w:color w:val="auto"/>
          <w:spacing w:val="2"/>
          <w:sz w:val="21"/>
          <w:szCs w:val="21"/>
          <w:highlight w:val="none"/>
          <w:lang w:val="en-US" w:eastAsia="zh-CN"/>
        </w:rPr>
        <w:t>及下述结算方式计取</w:t>
      </w:r>
      <w:r>
        <w:rPr>
          <w:rFonts w:hint="eastAsia" w:ascii="宋体" w:hAnsi="宋体" w:eastAsia="宋体" w:cs="宋体"/>
          <w:color w:val="auto"/>
          <w:spacing w:val="2"/>
          <w:sz w:val="21"/>
          <w:szCs w:val="21"/>
          <w:highlight w:val="none"/>
          <w:lang w:eastAsia="zh-CN"/>
        </w:rPr>
        <w:t>。</w:t>
      </w:r>
      <w:r>
        <w:rPr>
          <w:rFonts w:hint="eastAsia" w:ascii="宋体" w:hAnsi="宋体" w:eastAsia="宋体" w:cs="宋体"/>
          <w:b w:val="0"/>
          <w:bCs w:val="0"/>
          <w:color w:val="auto"/>
          <w:spacing w:val="2"/>
          <w:kern w:val="2"/>
          <w:sz w:val="21"/>
          <w:szCs w:val="21"/>
          <w:highlight w:val="none"/>
          <w:lang w:val="en-US" w:eastAsia="zh-CN" w:bidi="ar-SA"/>
        </w:rPr>
        <w:t>甲乙双方同意，本项目按照每批次推出房源的销售率进行考核，</w:t>
      </w:r>
      <w:r>
        <w:rPr>
          <w:rFonts w:hint="eastAsia" w:ascii="宋体" w:hAnsi="宋体" w:eastAsia="宋体" w:cs="宋体"/>
          <w:color w:val="auto"/>
          <w:spacing w:val="2"/>
          <w:highlight w:val="none"/>
        </w:rPr>
        <w:t>双方约定</w:t>
      </w:r>
      <w:r>
        <w:rPr>
          <w:rFonts w:hint="eastAsia" w:ascii="宋体" w:hAnsi="宋体" w:eastAsia="宋体" w:cs="宋体"/>
          <w:color w:val="auto"/>
          <w:spacing w:val="2"/>
          <w:highlight w:val="none"/>
          <w:lang w:val="en-US" w:eastAsia="zh-CN"/>
        </w:rPr>
        <w:t>销售佣金按以下方式结算</w:t>
      </w:r>
      <w:r>
        <w:rPr>
          <w:rFonts w:hint="eastAsia" w:ascii="宋体" w:hAnsi="宋体" w:eastAsia="宋体" w:cs="宋体"/>
          <w:color w:val="auto"/>
          <w:spacing w:val="2"/>
          <w:highlight w:val="none"/>
        </w:rPr>
        <w:t>：</w:t>
      </w:r>
    </w:p>
    <w:p w14:paraId="31A55C49">
      <w:pPr>
        <w:pageBreakBefore w:val="0"/>
        <w:widowControl w:val="0"/>
        <w:numPr>
          <w:ilvl w:val="0"/>
          <w:numId w:val="10"/>
        </w:numPr>
        <w:shd w:val="clear"/>
        <w:tabs>
          <w:tab w:val="left" w:pos="1824"/>
        </w:tabs>
        <w:kinsoku/>
        <w:wordWrap/>
        <w:overflowPunct/>
        <w:topLinePunct w:val="0"/>
        <w:bidi w:val="0"/>
        <w:adjustRightInd/>
        <w:spacing w:line="360" w:lineRule="auto"/>
        <w:ind w:left="0" w:leftChars="0" w:right="0" w:firstLine="454" w:firstLineChars="0"/>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住宅</w:t>
      </w:r>
      <w:r>
        <w:rPr>
          <w:rFonts w:hint="eastAsia" w:ascii="宋体" w:hAnsi="宋体" w:cs="宋体"/>
          <w:b w:val="0"/>
          <w:bCs w:val="0"/>
          <w:color w:val="auto"/>
          <w:spacing w:val="2"/>
          <w:sz w:val="21"/>
          <w:szCs w:val="21"/>
          <w:highlight w:val="none"/>
          <w:lang w:val="en-US" w:eastAsia="zh-CN"/>
        </w:rPr>
        <w:t>佣金：</w:t>
      </w:r>
      <w:r>
        <w:rPr>
          <w:rFonts w:hint="eastAsia" w:ascii="宋体" w:hAnsi="宋体" w:eastAsia="宋体" w:cs="宋体"/>
          <w:b w:val="0"/>
          <w:bCs w:val="0"/>
          <w:color w:val="auto"/>
          <w:spacing w:val="2"/>
          <w:sz w:val="21"/>
          <w:szCs w:val="21"/>
          <w:highlight w:val="none"/>
        </w:rPr>
        <w:t>按销售回款</w:t>
      </w:r>
      <w:r>
        <w:rPr>
          <w:rFonts w:hint="eastAsia" w:ascii="宋体" w:hAnsi="宋体" w:eastAsia="宋体" w:cs="宋体"/>
          <w:b w:val="0"/>
          <w:bCs w:val="0"/>
          <w:color w:val="auto"/>
          <w:spacing w:val="2"/>
          <w:highlight w:val="none"/>
        </w:rPr>
        <w:t>的</w:t>
      </w:r>
      <w:r>
        <w:rPr>
          <w:rFonts w:hint="eastAsia" w:ascii="宋体" w:hAnsi="宋体" w:eastAsia="宋体" w:cs="宋体"/>
          <w:b w:val="0"/>
          <w:bCs w:val="0"/>
          <w:color w:val="auto"/>
          <w:spacing w:val="2"/>
          <w:highlight w:val="none"/>
          <w:u w:val="single"/>
        </w:rPr>
        <w:t xml:space="preserve"> </w:t>
      </w:r>
      <w:r>
        <w:rPr>
          <w:rFonts w:hint="eastAsia" w:ascii="宋体" w:hAnsi="宋体" w:eastAsia="宋体" w:cs="宋体"/>
          <w:b w:val="0"/>
          <w:bCs w:val="0"/>
          <w:color w:val="auto"/>
          <w:spacing w:val="2"/>
          <w:highlight w:val="none"/>
          <w:u w:val="single"/>
          <w:lang w:val="en-US" w:eastAsia="zh-CN"/>
        </w:rPr>
        <w:t xml:space="preserve"> </w:t>
      </w:r>
      <w:r>
        <w:rPr>
          <w:rFonts w:hint="eastAsia" w:ascii="宋体" w:hAnsi="宋体" w:eastAsia="宋体" w:cs="宋体"/>
          <w:b w:val="0"/>
          <w:bCs w:val="0"/>
          <w:color w:val="auto"/>
          <w:spacing w:val="2"/>
          <w:highlight w:val="none"/>
          <w:u w:val="single"/>
        </w:rPr>
        <w:t xml:space="preserve"> </w:t>
      </w:r>
      <w:r>
        <w:rPr>
          <w:rFonts w:hint="eastAsia" w:ascii="宋体" w:hAnsi="宋体" w:eastAsia="宋体" w:cs="宋体"/>
          <w:b w:val="0"/>
          <w:bCs w:val="0"/>
          <w:color w:val="auto"/>
          <w:spacing w:val="2"/>
          <w:highlight w:val="none"/>
        </w:rPr>
        <w:t>%结算</w:t>
      </w:r>
      <w:r>
        <w:rPr>
          <w:rFonts w:hint="eastAsia" w:ascii="宋体" w:hAnsi="宋体" w:eastAsia="宋体" w:cs="宋体"/>
          <w:b w:val="0"/>
          <w:bCs w:val="0"/>
          <w:color w:val="auto"/>
          <w:spacing w:val="2"/>
          <w:highlight w:val="none"/>
          <w:lang w:eastAsia="zh-CN"/>
        </w:rPr>
        <w:t>；</w:t>
      </w:r>
    </w:p>
    <w:p w14:paraId="4E9D2A4C">
      <w:pPr>
        <w:pageBreakBefore w:val="0"/>
        <w:widowControl w:val="0"/>
        <w:numPr>
          <w:ilvl w:val="0"/>
          <w:numId w:val="10"/>
        </w:numPr>
        <w:shd w:val="clear"/>
        <w:tabs>
          <w:tab w:val="left" w:pos="1824"/>
        </w:tabs>
        <w:kinsoku/>
        <w:wordWrap/>
        <w:overflowPunct/>
        <w:topLinePunct w:val="0"/>
        <w:bidi w:val="0"/>
        <w:adjustRightInd/>
        <w:spacing w:line="360" w:lineRule="auto"/>
        <w:ind w:left="0" w:leftChars="0" w:right="0" w:firstLine="454" w:firstLineChars="0"/>
        <w:textAlignment w:val="auto"/>
        <w:rPr>
          <w:rFonts w:hint="eastAsia" w:ascii="宋体" w:hAnsi="宋体" w:eastAsia="宋体" w:cs="宋体"/>
          <w:b w:val="0"/>
          <w:bCs w:val="0"/>
          <w:color w:val="auto"/>
          <w:spacing w:val="2"/>
          <w:sz w:val="21"/>
          <w:szCs w:val="21"/>
          <w:highlight w:val="none"/>
        </w:rPr>
      </w:pPr>
      <w:r>
        <w:rPr>
          <w:rFonts w:hint="eastAsia" w:ascii="宋体" w:hAnsi="宋体" w:eastAsia="宋体" w:cs="宋体"/>
          <w:b w:val="0"/>
          <w:bCs w:val="0"/>
          <w:color w:val="auto"/>
          <w:spacing w:val="2"/>
          <w:sz w:val="21"/>
          <w:szCs w:val="21"/>
          <w:highlight w:val="none"/>
        </w:rPr>
        <w:t>车位佣金：</w:t>
      </w:r>
      <w:r>
        <w:rPr>
          <w:rFonts w:hint="eastAsia" w:ascii="宋体" w:hAnsi="宋体" w:eastAsia="宋体" w:cs="宋体"/>
          <w:b w:val="0"/>
          <w:bCs w:val="0"/>
          <w:color w:val="auto"/>
          <w:kern w:val="2"/>
          <w:sz w:val="21"/>
          <w:szCs w:val="21"/>
          <w:highlight w:val="none"/>
          <w:lang w:val="en-US" w:eastAsia="zh-CN" w:bidi="ar-SA"/>
        </w:rPr>
        <w:t>按住宅佣金点位结算</w:t>
      </w:r>
      <w:r>
        <w:rPr>
          <w:rFonts w:hint="eastAsia" w:ascii="宋体" w:hAnsi="宋体" w:eastAsia="宋体" w:cs="宋体"/>
          <w:b w:val="0"/>
          <w:bCs w:val="0"/>
          <w:color w:val="auto"/>
          <w:spacing w:val="2"/>
          <w:sz w:val="21"/>
          <w:szCs w:val="21"/>
          <w:highlight w:val="none"/>
        </w:rPr>
        <w:t>；</w:t>
      </w:r>
    </w:p>
    <w:p w14:paraId="4B897BCC">
      <w:pPr>
        <w:pageBreakBefore w:val="0"/>
        <w:widowControl w:val="0"/>
        <w:numPr>
          <w:ilvl w:val="0"/>
          <w:numId w:val="10"/>
        </w:numPr>
        <w:shd w:val="clear"/>
        <w:kinsoku/>
        <w:wordWrap/>
        <w:overflowPunct/>
        <w:topLinePunct w:val="0"/>
        <w:bidi w:val="0"/>
        <w:adjustRightInd/>
        <w:spacing w:before="0" w:after="0" w:afterLines="0" w:line="360" w:lineRule="auto"/>
        <w:ind w:left="0" w:leftChars="0" w:right="0" w:firstLine="454" w:firstLineChars="0"/>
        <w:jc w:val="both"/>
        <w:textAlignment w:val="auto"/>
        <w:rPr>
          <w:rFonts w:hint="eastAsia" w:ascii="宋体" w:hAnsi="宋体" w:eastAsia="宋体" w:cs="宋体"/>
          <w:b w:val="0"/>
          <w:bCs w:val="0"/>
          <w:color w:val="auto"/>
          <w:spacing w:val="2"/>
          <w:kern w:val="2"/>
          <w:sz w:val="21"/>
          <w:szCs w:val="21"/>
          <w:highlight w:val="none"/>
          <w:lang w:val="en-US" w:eastAsia="zh-CN" w:bidi="ar-SA"/>
        </w:rPr>
      </w:pPr>
      <w:r>
        <w:rPr>
          <w:rFonts w:hint="eastAsia" w:ascii="宋体" w:hAnsi="宋体" w:eastAsia="宋体" w:cs="宋体"/>
          <w:b w:val="0"/>
          <w:bCs w:val="0"/>
          <w:color w:val="auto"/>
          <w:spacing w:val="2"/>
          <w:kern w:val="2"/>
          <w:sz w:val="21"/>
          <w:szCs w:val="21"/>
          <w:highlight w:val="none"/>
          <w:lang w:val="en-US" w:eastAsia="zh-CN" w:bidi="ar-SA"/>
        </w:rPr>
        <w:t>储藏室佣金：</w:t>
      </w:r>
      <w:r>
        <w:rPr>
          <w:rFonts w:hint="eastAsia" w:ascii="宋体" w:hAnsi="宋体" w:eastAsia="宋体" w:cs="宋体"/>
          <w:b w:val="0"/>
          <w:bCs w:val="0"/>
          <w:color w:val="auto"/>
          <w:kern w:val="2"/>
          <w:sz w:val="21"/>
          <w:szCs w:val="21"/>
          <w:highlight w:val="none"/>
          <w:lang w:val="en-US" w:eastAsia="zh-CN" w:bidi="ar-SA"/>
        </w:rPr>
        <w:t>按住宅佣金点位结算</w:t>
      </w:r>
      <w:r>
        <w:rPr>
          <w:rFonts w:hint="eastAsia" w:ascii="宋体" w:hAnsi="宋体" w:eastAsia="宋体" w:cs="宋体"/>
          <w:b w:val="0"/>
          <w:bCs w:val="0"/>
          <w:color w:val="auto"/>
          <w:spacing w:val="2"/>
          <w:kern w:val="2"/>
          <w:sz w:val="21"/>
          <w:szCs w:val="21"/>
          <w:highlight w:val="none"/>
          <w:lang w:val="en-US" w:eastAsia="zh-CN" w:bidi="ar-SA"/>
        </w:rPr>
        <w:t>；</w:t>
      </w:r>
    </w:p>
    <w:p w14:paraId="46793780">
      <w:pPr>
        <w:pageBreakBefore w:val="0"/>
        <w:widowControl w:val="0"/>
        <w:numPr>
          <w:ilvl w:val="0"/>
          <w:numId w:val="10"/>
        </w:numPr>
        <w:shd w:val="clear"/>
        <w:kinsoku/>
        <w:wordWrap/>
        <w:overflowPunct/>
        <w:topLinePunct w:val="0"/>
        <w:bidi w:val="0"/>
        <w:adjustRightInd/>
        <w:spacing w:before="0" w:after="0" w:afterLines="0" w:line="360" w:lineRule="auto"/>
        <w:ind w:left="0" w:leftChars="0" w:right="0" w:firstLine="454" w:firstLineChars="0"/>
        <w:jc w:val="both"/>
        <w:textAlignment w:val="auto"/>
        <w:rPr>
          <w:rFonts w:hint="default" w:ascii="宋体" w:hAnsi="宋体" w:cs="宋体"/>
          <w:b w:val="0"/>
          <w:bCs w:val="0"/>
          <w:color w:val="auto"/>
          <w:spacing w:val="2"/>
          <w:kern w:val="2"/>
          <w:sz w:val="21"/>
          <w:szCs w:val="21"/>
          <w:highlight w:val="none"/>
          <w:lang w:val="en-US" w:eastAsia="zh-CN" w:bidi="ar-SA"/>
        </w:rPr>
      </w:pPr>
      <w:r>
        <w:rPr>
          <w:rFonts w:hint="eastAsia" w:ascii="宋体" w:hAnsi="宋体" w:eastAsia="宋体" w:cs="宋体"/>
          <w:b w:val="0"/>
          <w:bCs w:val="0"/>
          <w:color w:val="auto"/>
          <w:spacing w:val="2"/>
          <w:kern w:val="2"/>
          <w:sz w:val="21"/>
          <w:szCs w:val="21"/>
          <w:highlight w:val="none"/>
          <w:lang w:val="en-US" w:eastAsia="zh-CN" w:bidi="ar-SA"/>
        </w:rPr>
        <w:t>商业</w:t>
      </w:r>
      <w:r>
        <w:rPr>
          <w:rFonts w:hint="eastAsia" w:ascii="宋体" w:hAnsi="宋体" w:eastAsia="宋体" w:cs="宋体"/>
          <w:b w:val="0"/>
          <w:bCs w:val="0"/>
          <w:color w:val="auto"/>
          <w:kern w:val="2"/>
          <w:sz w:val="21"/>
          <w:szCs w:val="21"/>
          <w:highlight w:val="none"/>
          <w:lang w:val="en-US" w:eastAsia="zh-CN" w:bidi="ar-SA"/>
        </w:rPr>
        <w:t>佣金：按住宅佣金点位结算</w:t>
      </w:r>
      <w:r>
        <w:rPr>
          <w:rFonts w:hint="eastAsia" w:ascii="宋体" w:hAnsi="宋体" w:cs="宋体"/>
          <w:b w:val="0"/>
          <w:bCs w:val="0"/>
          <w:color w:val="auto"/>
          <w:kern w:val="2"/>
          <w:sz w:val="21"/>
          <w:szCs w:val="21"/>
          <w:highlight w:val="none"/>
          <w:lang w:val="en-US" w:eastAsia="zh-CN" w:bidi="ar-SA"/>
        </w:rPr>
        <w:t>。</w:t>
      </w:r>
    </w:p>
    <w:p w14:paraId="3C5F7620">
      <w:pPr>
        <w:pageBreakBefore w:val="0"/>
        <w:widowControl w:val="0"/>
        <w:numPr>
          <w:ilvl w:val="0"/>
          <w:numId w:val="10"/>
        </w:numPr>
        <w:shd w:val="clear"/>
        <w:tabs>
          <w:tab w:val="left" w:pos="1824"/>
        </w:tabs>
        <w:kinsoku/>
        <w:wordWrap/>
        <w:overflowPunct/>
        <w:topLinePunct w:val="0"/>
        <w:bidi w:val="0"/>
        <w:adjustRightInd/>
        <w:spacing w:line="360" w:lineRule="auto"/>
        <w:ind w:left="0" w:leftChars="0" w:right="0" w:firstLine="454" w:firstLineChars="0"/>
        <w:textAlignment w:val="auto"/>
        <w:rPr>
          <w:rFonts w:hint="default" w:ascii="宋体" w:hAnsi="宋体" w:cs="宋体"/>
          <w:b w:val="0"/>
          <w:bCs w:val="0"/>
          <w:color w:val="auto"/>
          <w:spacing w:val="2"/>
          <w:kern w:val="2"/>
          <w:sz w:val="21"/>
          <w:szCs w:val="21"/>
          <w:highlight w:val="none"/>
          <w:lang w:val="en-US" w:eastAsia="zh-CN" w:bidi="ar-SA"/>
        </w:rPr>
      </w:pPr>
      <w:r>
        <w:rPr>
          <w:rFonts w:hint="eastAsia" w:ascii="宋体" w:hAnsi="宋体" w:cs="宋体"/>
          <w:b w:val="0"/>
          <w:bCs w:val="0"/>
          <w:color w:val="auto"/>
          <w:spacing w:val="2"/>
          <w:kern w:val="2"/>
          <w:sz w:val="21"/>
          <w:szCs w:val="21"/>
          <w:highlight w:val="none"/>
          <w:lang w:val="en-US" w:eastAsia="zh-CN" w:bidi="ar-SA"/>
        </w:rPr>
        <w:t>关于销售佣金的特别说明：</w:t>
      </w:r>
    </w:p>
    <w:p w14:paraId="59776EE6">
      <w:pPr>
        <w:keepNext w:val="0"/>
        <w:keepLines w:val="0"/>
        <w:pageBreakBefore w:val="0"/>
        <w:widowControl w:val="0"/>
        <w:numPr>
          <w:ilvl w:val="0"/>
          <w:numId w:val="11"/>
        </w:numPr>
        <w:shd w:val="clear"/>
        <w:kinsoku/>
        <w:wordWrap/>
        <w:overflowPunct/>
        <w:topLinePunct w:val="0"/>
        <w:autoSpaceDE/>
        <w:autoSpaceDN/>
        <w:bidi w:val="0"/>
        <w:adjustRightInd/>
        <w:snapToGrid/>
        <w:spacing w:before="0" w:after="0" w:afterLines="0" w:line="360" w:lineRule="auto"/>
        <w:ind w:left="0" w:leftChars="0" w:right="0" w:rightChars="0" w:firstLine="454" w:firstLineChars="0"/>
        <w:jc w:val="both"/>
        <w:textAlignment w:val="auto"/>
        <w:rPr>
          <w:rFonts w:hint="eastAsia" w:ascii="宋体" w:hAnsi="宋体" w:eastAsia="宋体" w:cs="宋体"/>
          <w:b w:val="0"/>
          <w:bCs w:val="0"/>
          <w:color w:val="auto"/>
          <w:spacing w:val="2"/>
          <w:kern w:val="2"/>
          <w:sz w:val="21"/>
          <w:szCs w:val="21"/>
          <w:highlight w:val="none"/>
          <w:lang w:val="en-US" w:eastAsia="zh-CN" w:bidi="ar-SA"/>
        </w:rPr>
      </w:pPr>
      <w:r>
        <w:rPr>
          <w:rFonts w:hint="eastAsia" w:ascii="宋体" w:hAnsi="宋体" w:eastAsia="宋体" w:cs="宋体"/>
          <w:b w:val="0"/>
          <w:bCs w:val="0"/>
          <w:color w:val="auto"/>
          <w:spacing w:val="2"/>
          <w:kern w:val="2"/>
          <w:sz w:val="21"/>
          <w:szCs w:val="21"/>
          <w:highlight w:val="none"/>
          <w:lang w:val="en-US" w:eastAsia="zh-CN" w:bidi="ar-SA"/>
        </w:rPr>
        <w:t>在每批次住宅和车位推售前，双方书面确认具体推售时间、数量和价格，并以此界定考核指标。</w:t>
      </w:r>
    </w:p>
    <w:p w14:paraId="74476F16">
      <w:pPr>
        <w:keepNext w:val="0"/>
        <w:keepLines w:val="0"/>
        <w:pageBreakBefore w:val="0"/>
        <w:widowControl w:val="0"/>
        <w:numPr>
          <w:ilvl w:val="0"/>
          <w:numId w:val="11"/>
        </w:numPr>
        <w:shd w:val="clear"/>
        <w:kinsoku/>
        <w:wordWrap/>
        <w:overflowPunct/>
        <w:topLinePunct w:val="0"/>
        <w:autoSpaceDE/>
        <w:autoSpaceDN/>
        <w:bidi w:val="0"/>
        <w:adjustRightInd/>
        <w:snapToGrid/>
        <w:spacing w:before="0" w:after="0" w:afterLines="0" w:line="360" w:lineRule="auto"/>
        <w:ind w:left="0" w:leftChars="0" w:right="0" w:rightChars="0" w:firstLine="454" w:firstLineChars="0"/>
        <w:jc w:val="both"/>
        <w:textAlignment w:val="auto"/>
        <w:rPr>
          <w:rFonts w:hint="eastAsia" w:ascii="宋体" w:hAnsi="宋体" w:eastAsia="宋体" w:cs="宋体"/>
          <w:b w:val="0"/>
          <w:bCs w:val="0"/>
          <w:color w:val="auto"/>
          <w:spacing w:val="2"/>
          <w:kern w:val="2"/>
          <w:sz w:val="21"/>
          <w:szCs w:val="21"/>
          <w:highlight w:val="none"/>
          <w:lang w:val="en-US" w:eastAsia="zh-CN" w:bidi="ar-SA"/>
        </w:rPr>
      </w:pPr>
      <w:r>
        <w:rPr>
          <w:rFonts w:hint="eastAsia" w:ascii="宋体" w:hAnsi="宋体" w:eastAsia="宋体" w:cs="宋体"/>
          <w:b w:val="0"/>
          <w:bCs w:val="0"/>
          <w:color w:val="auto"/>
          <w:spacing w:val="2"/>
          <w:kern w:val="2"/>
          <w:sz w:val="21"/>
          <w:szCs w:val="21"/>
          <w:highlight w:val="none"/>
          <w:lang w:val="en-US" w:eastAsia="zh-CN" w:bidi="ar-SA"/>
        </w:rPr>
        <w:t>若因市场、政策、供货等客观因素导致考核指标达成可能性较低，双方可根据客观情况另行协商。</w:t>
      </w:r>
    </w:p>
    <w:p w14:paraId="71A45CA6">
      <w:pPr>
        <w:pStyle w:val="47"/>
        <w:numPr>
          <w:ilvl w:val="0"/>
          <w:numId w:val="11"/>
        </w:numPr>
        <w:shd w:val="clear"/>
        <w:ind w:left="0" w:leftChars="0" w:firstLine="454" w:firstLineChars="0"/>
        <w:rPr>
          <w:rFonts w:hint="eastAsia" w:ascii="Times New Roman" w:hAnsi="Times New Roman" w:eastAsia="宋体" w:cs="Times New Roman"/>
          <w:b w:val="0"/>
          <w:bCs w:val="0"/>
          <w:color w:val="auto"/>
          <w:highlight w:val="none"/>
          <w:lang w:val="en-US" w:eastAsia="zh-CN"/>
        </w:rPr>
      </w:pPr>
      <w:r>
        <w:rPr>
          <w:rFonts w:hint="eastAsia" w:ascii="Times New Roman" w:hAnsi="Times New Roman" w:eastAsia="宋体" w:cs="Times New Roman"/>
          <w:b w:val="0"/>
          <w:bCs w:val="0"/>
          <w:color w:val="auto"/>
          <w:highlight w:val="none"/>
          <w:lang w:val="en-US" w:eastAsia="zh-CN"/>
        </w:rPr>
        <w:t>参与以旧换新活动客户，其置换房屋金额计入住宅销售回款。</w:t>
      </w:r>
    </w:p>
    <w:p w14:paraId="263FE190">
      <w:pPr>
        <w:keepNext w:val="0"/>
        <w:keepLines w:val="0"/>
        <w:pageBreakBefore w:val="0"/>
        <w:widowControl w:val="0"/>
        <w:numPr>
          <w:ilvl w:val="0"/>
          <w:numId w:val="11"/>
        </w:numPr>
        <w:shd w:val="clear"/>
        <w:kinsoku/>
        <w:wordWrap/>
        <w:overflowPunct/>
        <w:topLinePunct w:val="0"/>
        <w:autoSpaceDE/>
        <w:autoSpaceDN/>
        <w:bidi w:val="0"/>
        <w:adjustRightInd/>
        <w:snapToGrid/>
        <w:spacing w:before="0" w:after="0" w:afterLines="0" w:line="360" w:lineRule="auto"/>
        <w:ind w:left="0" w:leftChars="0" w:right="0" w:firstLine="454" w:firstLineChars="0"/>
        <w:jc w:val="both"/>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甲方工程款抵扣、材料款抵扣、员工及其直系亲属购买（含甲方股东员工及其直系亲属）成交的住宅或车位计入各期的业绩考核指标，但不按双方约定的费率结算销售佣金，乙方应提供相应的合同签约及相关手续的办理服务，甲方</w:t>
      </w:r>
      <w:r>
        <w:rPr>
          <w:rFonts w:hint="eastAsia" w:ascii="宋体" w:hAnsi="宋体" w:eastAsia="宋体" w:cs="宋体"/>
          <w:color w:val="auto"/>
          <w:spacing w:val="2"/>
          <w:highlight w:val="none"/>
        </w:rPr>
        <w:t>按住宅3000元/套、</w:t>
      </w:r>
      <w:r>
        <w:rPr>
          <w:rFonts w:hint="eastAsia" w:ascii="宋体" w:hAnsi="宋体" w:eastAsia="宋体" w:cs="宋体"/>
          <w:color w:val="auto"/>
          <w:spacing w:val="2"/>
          <w:highlight w:val="none"/>
          <w:lang w:val="en-US" w:eastAsia="zh-CN"/>
        </w:rPr>
        <w:t>储藏室500元/个、</w:t>
      </w:r>
      <w:r>
        <w:rPr>
          <w:rFonts w:hint="eastAsia" w:ascii="宋体" w:hAnsi="宋体" w:eastAsia="宋体" w:cs="宋体"/>
          <w:color w:val="auto"/>
          <w:spacing w:val="2"/>
          <w:highlight w:val="none"/>
        </w:rPr>
        <w:t>车位</w:t>
      </w:r>
      <w:r>
        <w:rPr>
          <w:rFonts w:hint="eastAsia" w:ascii="宋体" w:hAnsi="宋体" w:eastAsia="宋体" w:cs="宋体"/>
          <w:color w:val="auto"/>
          <w:spacing w:val="2"/>
          <w:highlight w:val="none"/>
          <w:lang w:val="en-US" w:eastAsia="zh-CN"/>
        </w:rPr>
        <w:t>按住宅佣金点位结算</w:t>
      </w:r>
      <w:r>
        <w:rPr>
          <w:rFonts w:hint="eastAsia" w:ascii="宋体" w:hAnsi="宋体" w:eastAsia="宋体" w:cs="宋体"/>
          <w:color w:val="auto"/>
          <w:spacing w:val="2"/>
          <w:kern w:val="2"/>
          <w:sz w:val="21"/>
          <w:szCs w:val="21"/>
          <w:highlight w:val="none"/>
          <w:lang w:val="en-US" w:eastAsia="zh-CN" w:bidi="ar-SA"/>
        </w:rPr>
        <w:t>销售佣金。</w:t>
      </w:r>
    </w:p>
    <w:p w14:paraId="7775AB46">
      <w:pPr>
        <w:keepNext w:val="0"/>
        <w:keepLines w:val="0"/>
        <w:pageBreakBefore w:val="0"/>
        <w:widowControl w:val="0"/>
        <w:numPr>
          <w:ilvl w:val="0"/>
          <w:numId w:val="11"/>
        </w:numPr>
        <w:shd w:val="clear"/>
        <w:kinsoku/>
        <w:wordWrap/>
        <w:overflowPunct/>
        <w:topLinePunct w:val="0"/>
        <w:autoSpaceDE/>
        <w:autoSpaceDN/>
        <w:bidi w:val="0"/>
        <w:adjustRightInd/>
        <w:snapToGrid/>
        <w:spacing w:before="0" w:after="0" w:afterLines="0" w:line="360" w:lineRule="auto"/>
        <w:ind w:left="0" w:leftChars="0" w:right="0" w:firstLine="454" w:firstLineChars="0"/>
        <w:jc w:val="both"/>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甲乙双方同意，</w:t>
      </w:r>
      <w:r>
        <w:rPr>
          <w:rFonts w:hint="eastAsia" w:ascii="宋体" w:hAnsi="宋体" w:eastAsia="宋体" w:cs="宋体"/>
          <w:color w:val="auto"/>
          <w:spacing w:val="2"/>
          <w:sz w:val="21"/>
          <w:szCs w:val="21"/>
          <w:highlight w:val="none"/>
          <w:lang w:val="en-US" w:eastAsia="zh-CN"/>
        </w:rPr>
        <w:t>洋房/小高层</w:t>
      </w:r>
      <w:r>
        <w:rPr>
          <w:rFonts w:hint="eastAsia" w:ascii="宋体" w:hAnsi="宋体" w:eastAsia="宋体" w:cs="宋体"/>
          <w:color w:val="auto"/>
          <w:spacing w:val="2"/>
          <w:kern w:val="2"/>
          <w:sz w:val="21"/>
          <w:szCs w:val="21"/>
          <w:highlight w:val="none"/>
          <w:lang w:val="en-US" w:eastAsia="zh-CN" w:bidi="ar-SA"/>
        </w:rPr>
        <w:t>为了促进销售而采取的“买房赠车位/储藏室”或低于车位/储藏室底价50%与住宅搭售等成交的车位/储藏室，计入各期的业绩考核指标</w:t>
      </w:r>
      <w:r>
        <w:rPr>
          <w:rFonts w:hint="eastAsia" w:ascii="宋体" w:hAnsi="宋体" w:eastAsia="宋体" w:cs="宋体"/>
          <w:color w:val="auto"/>
          <w:spacing w:val="2"/>
          <w:highlight w:val="none"/>
        </w:rPr>
        <w:t>，但不再结算</w:t>
      </w:r>
      <w:r>
        <w:rPr>
          <w:rFonts w:hint="eastAsia" w:ascii="宋体" w:hAnsi="宋体" w:eastAsia="宋体" w:cs="宋体"/>
          <w:color w:val="auto"/>
          <w:spacing w:val="2"/>
          <w:kern w:val="2"/>
          <w:sz w:val="21"/>
          <w:szCs w:val="21"/>
          <w:highlight w:val="none"/>
          <w:lang w:val="en-US" w:eastAsia="zh-CN" w:bidi="ar-SA"/>
        </w:rPr>
        <w:t>销售佣金。</w:t>
      </w:r>
    </w:p>
    <w:p w14:paraId="23B842F5">
      <w:pPr>
        <w:keepNext w:val="0"/>
        <w:keepLines w:val="0"/>
        <w:pageBreakBefore w:val="0"/>
        <w:widowControl w:val="0"/>
        <w:numPr>
          <w:ilvl w:val="0"/>
          <w:numId w:val="11"/>
        </w:numPr>
        <w:shd w:val="clear"/>
        <w:kinsoku/>
        <w:wordWrap/>
        <w:overflowPunct/>
        <w:topLinePunct w:val="0"/>
        <w:autoSpaceDE/>
        <w:autoSpaceDN/>
        <w:bidi w:val="0"/>
        <w:adjustRightInd/>
        <w:snapToGrid/>
        <w:spacing w:before="0" w:after="0" w:afterLines="0" w:line="360" w:lineRule="auto"/>
        <w:ind w:left="0" w:leftChars="0" w:right="0" w:firstLine="454" w:firstLineChars="0"/>
        <w:jc w:val="both"/>
        <w:textAlignment w:val="auto"/>
        <w:rPr>
          <w:rFonts w:hint="default"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客户退房的，乙方应在客户办理退房手续后退还甲方已结算的销售佣金，若乙方未按要求进行销售佣金退还，则甲方有权在乙方后续的代理服务费内直接扣除。</w:t>
      </w:r>
    </w:p>
    <w:p w14:paraId="26FB1C35">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afterLines="0" w:line="360" w:lineRule="auto"/>
        <w:ind w:left="397" w:leftChars="0" w:right="0" w:rightChars="0"/>
        <w:jc w:val="both"/>
        <w:textAlignment w:val="auto"/>
        <w:rPr>
          <w:rFonts w:hint="default" w:ascii="宋体" w:hAnsi="宋体" w:eastAsia="宋体" w:cs="宋体"/>
          <w:b w:val="0"/>
          <w:bCs w:val="0"/>
          <w:color w:val="auto"/>
          <w:spacing w:val="2"/>
          <w:kern w:val="2"/>
          <w:sz w:val="21"/>
          <w:szCs w:val="21"/>
          <w:highlight w:val="none"/>
          <w:lang w:val="en-US" w:eastAsia="zh-CN" w:bidi="ar-SA"/>
        </w:rPr>
      </w:pPr>
      <w:r>
        <w:rPr>
          <w:rFonts w:hint="eastAsia" w:ascii="宋体" w:hAnsi="宋体" w:cs="宋体"/>
          <w:b w:val="0"/>
          <w:bCs w:val="0"/>
          <w:color w:val="auto"/>
          <w:spacing w:val="2"/>
          <w:kern w:val="2"/>
          <w:sz w:val="21"/>
          <w:szCs w:val="21"/>
          <w:highlight w:val="none"/>
          <w:lang w:val="en-US" w:eastAsia="zh-CN" w:bidi="ar-SA"/>
        </w:rPr>
        <w:t>（二）营销代理服务费支付方式</w:t>
      </w:r>
    </w:p>
    <w:p w14:paraId="4E4593D8">
      <w:pPr>
        <w:keepNext w:val="0"/>
        <w:keepLines w:val="0"/>
        <w:pageBreakBefore w:val="0"/>
        <w:widowControl w:val="0"/>
        <w:numPr>
          <w:ilvl w:val="0"/>
          <w:numId w:val="12"/>
        </w:numPr>
        <w:shd w:val="clear"/>
        <w:kinsoku/>
        <w:wordWrap/>
        <w:overflowPunct/>
        <w:topLinePunct w:val="0"/>
        <w:autoSpaceDE/>
        <w:autoSpaceDN/>
        <w:bidi w:val="0"/>
        <w:adjustRightInd/>
        <w:snapToGrid/>
        <w:spacing w:before="0" w:after="0" w:afterLines="0" w:line="360" w:lineRule="auto"/>
        <w:ind w:left="0" w:leftChars="0" w:right="0" w:firstLine="428" w:firstLineChars="200"/>
        <w:jc w:val="both"/>
        <w:textAlignment w:val="auto"/>
        <w:rPr>
          <w:rFonts w:hint="eastAsia" w:ascii="宋体" w:hAnsi="宋体" w:eastAsia="宋体" w:cs="宋体"/>
          <w:b w:val="0"/>
          <w:bCs w:val="0"/>
          <w:color w:val="auto"/>
          <w:spacing w:val="2"/>
          <w:kern w:val="2"/>
          <w:sz w:val="21"/>
          <w:szCs w:val="21"/>
          <w:highlight w:val="none"/>
          <w:lang w:val="en-US" w:eastAsia="zh-CN" w:bidi="ar-SA"/>
        </w:rPr>
      </w:pPr>
      <w:r>
        <w:rPr>
          <w:rFonts w:hint="eastAsia" w:ascii="宋体" w:hAnsi="宋体" w:cs="宋体"/>
          <w:b w:val="0"/>
          <w:bCs w:val="0"/>
          <w:color w:val="auto"/>
          <w:spacing w:val="2"/>
          <w:kern w:val="2"/>
          <w:sz w:val="21"/>
          <w:szCs w:val="21"/>
          <w:highlight w:val="none"/>
          <w:lang w:val="en-US" w:eastAsia="zh-CN" w:bidi="ar-SA"/>
        </w:rPr>
        <w:t>基本服务费用支付：</w:t>
      </w:r>
      <w:r>
        <w:rPr>
          <w:rFonts w:hint="eastAsia" w:ascii="宋体" w:hAnsi="宋体" w:eastAsia="宋体" w:cs="宋体"/>
          <w:b w:val="0"/>
          <w:bCs w:val="0"/>
          <w:color w:val="auto"/>
          <w:spacing w:val="2"/>
          <w:kern w:val="2"/>
          <w:sz w:val="21"/>
          <w:szCs w:val="21"/>
          <w:highlight w:val="none"/>
          <w:lang w:val="en-US" w:eastAsia="zh-CN" w:bidi="ar-SA"/>
        </w:rPr>
        <w:t>乙方于每月3日前提交上月的</w:t>
      </w:r>
      <w:r>
        <w:rPr>
          <w:rFonts w:hint="eastAsia" w:ascii="宋体" w:hAnsi="宋体" w:cs="宋体"/>
          <w:color w:val="auto"/>
          <w:sz w:val="21"/>
          <w:szCs w:val="21"/>
          <w:highlight w:val="none"/>
        </w:rPr>
        <w:t>《人员考勤表》</w:t>
      </w:r>
      <w:r>
        <w:rPr>
          <w:rFonts w:hint="eastAsia" w:ascii="宋体" w:hAnsi="宋体" w:eastAsia="宋体" w:cs="宋体"/>
          <w:b w:val="0"/>
          <w:bCs w:val="0"/>
          <w:color w:val="auto"/>
          <w:spacing w:val="2"/>
          <w:kern w:val="2"/>
          <w:sz w:val="21"/>
          <w:szCs w:val="21"/>
          <w:highlight w:val="none"/>
          <w:lang w:val="en-US" w:eastAsia="zh-CN" w:bidi="ar-SA"/>
        </w:rPr>
        <w:t>，甲方审核确认后于当月25日前支付上月基本服务费。</w:t>
      </w:r>
    </w:p>
    <w:p w14:paraId="2C584710">
      <w:pPr>
        <w:keepNext w:val="0"/>
        <w:keepLines w:val="0"/>
        <w:pageBreakBefore w:val="0"/>
        <w:widowControl w:val="0"/>
        <w:numPr>
          <w:ilvl w:val="0"/>
          <w:numId w:val="12"/>
        </w:numPr>
        <w:shd w:val="clear"/>
        <w:kinsoku/>
        <w:wordWrap/>
        <w:overflowPunct/>
        <w:topLinePunct w:val="0"/>
        <w:autoSpaceDE/>
        <w:autoSpaceDN/>
        <w:bidi w:val="0"/>
        <w:adjustRightInd/>
        <w:snapToGrid/>
        <w:spacing w:before="0" w:after="0" w:afterLines="0" w:line="360" w:lineRule="auto"/>
        <w:ind w:left="0" w:leftChars="0" w:right="0" w:firstLine="428" w:firstLineChars="200"/>
        <w:jc w:val="both"/>
        <w:textAlignment w:val="auto"/>
        <w:rPr>
          <w:rFonts w:hint="eastAsia" w:ascii="宋体" w:hAnsi="宋体" w:eastAsia="宋体" w:cs="宋体"/>
          <w:b w:val="0"/>
          <w:bCs w:val="0"/>
          <w:color w:val="auto"/>
          <w:spacing w:val="2"/>
          <w:kern w:val="2"/>
          <w:sz w:val="21"/>
          <w:szCs w:val="21"/>
          <w:highlight w:val="none"/>
          <w:lang w:val="en-US" w:eastAsia="zh-CN" w:bidi="ar-SA"/>
        </w:rPr>
      </w:pPr>
      <w:r>
        <w:rPr>
          <w:rFonts w:hint="eastAsia" w:ascii="宋体" w:hAnsi="宋体" w:cs="宋体"/>
          <w:b w:val="0"/>
          <w:bCs w:val="0"/>
          <w:color w:val="auto"/>
          <w:spacing w:val="2"/>
          <w:kern w:val="2"/>
          <w:sz w:val="21"/>
          <w:szCs w:val="21"/>
          <w:highlight w:val="none"/>
          <w:lang w:val="en-US" w:eastAsia="zh-CN" w:bidi="ar-SA"/>
        </w:rPr>
        <w:t>销售佣金支付：</w:t>
      </w:r>
      <w:r>
        <w:rPr>
          <w:rFonts w:hint="eastAsia" w:ascii="宋体" w:hAnsi="宋体" w:eastAsia="宋体" w:cs="宋体"/>
          <w:b w:val="0"/>
          <w:bCs w:val="0"/>
          <w:color w:val="auto"/>
          <w:spacing w:val="2"/>
          <w:kern w:val="2"/>
          <w:sz w:val="21"/>
          <w:szCs w:val="21"/>
          <w:highlight w:val="none"/>
          <w:lang w:val="en-US" w:eastAsia="zh-CN" w:bidi="ar-SA"/>
        </w:rPr>
        <w:t>项目首期开盘后，甲乙双方以上月销售回款（含预付、按揭，不包含定金）为依据结算当期</w:t>
      </w:r>
      <w:r>
        <w:rPr>
          <w:rFonts w:hint="eastAsia" w:ascii="宋体" w:hAnsi="宋体" w:cs="宋体"/>
          <w:b w:val="0"/>
          <w:bCs w:val="0"/>
          <w:color w:val="auto"/>
          <w:spacing w:val="2"/>
          <w:kern w:val="2"/>
          <w:sz w:val="21"/>
          <w:szCs w:val="21"/>
          <w:highlight w:val="none"/>
          <w:lang w:val="en-US" w:eastAsia="zh-CN" w:bidi="ar-SA"/>
        </w:rPr>
        <w:t>销售佣金</w:t>
      </w:r>
      <w:r>
        <w:rPr>
          <w:rFonts w:hint="eastAsia" w:ascii="宋体" w:hAnsi="宋体" w:eastAsia="宋体" w:cs="宋体"/>
          <w:b w:val="0"/>
          <w:bCs w:val="0"/>
          <w:color w:val="auto"/>
          <w:spacing w:val="2"/>
          <w:kern w:val="2"/>
          <w:sz w:val="21"/>
          <w:szCs w:val="21"/>
          <w:highlight w:val="none"/>
          <w:lang w:val="en-US" w:eastAsia="zh-CN" w:bidi="ar-SA"/>
        </w:rPr>
        <w:t>。每月3日前乙方提交上月的《销售业绩表》和《营销代理服务费结算表》（注：完成网签备案合同签订，方可计入《营销代理服务费结算表》），甲方审核确认后于当月25日前支付</w:t>
      </w:r>
      <w:r>
        <w:rPr>
          <w:rFonts w:hint="eastAsia" w:ascii="宋体" w:hAnsi="宋体" w:cs="宋体"/>
          <w:b w:val="0"/>
          <w:bCs w:val="0"/>
          <w:color w:val="auto"/>
          <w:spacing w:val="2"/>
          <w:kern w:val="2"/>
          <w:sz w:val="21"/>
          <w:szCs w:val="21"/>
          <w:highlight w:val="none"/>
          <w:lang w:val="en-US" w:eastAsia="zh-CN" w:bidi="ar-SA"/>
        </w:rPr>
        <w:t>上月销售佣金的90%；</w:t>
      </w:r>
    </w:p>
    <w:p w14:paraId="0FBB7B08">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afterLines="0" w:line="360" w:lineRule="auto"/>
        <w:ind w:right="0" w:rightChars="0" w:firstLine="428" w:firstLineChars="200"/>
        <w:jc w:val="both"/>
        <w:textAlignment w:val="auto"/>
        <w:rPr>
          <w:rFonts w:hint="eastAsia"/>
          <w:color w:val="auto"/>
          <w:highlight w:val="none"/>
          <w:lang w:val="en-US" w:eastAsia="zh-CN"/>
        </w:rPr>
      </w:pPr>
      <w:r>
        <w:rPr>
          <w:rFonts w:hint="eastAsia" w:ascii="宋体" w:hAnsi="宋体" w:eastAsia="宋体" w:cs="宋体"/>
          <w:b w:val="0"/>
          <w:bCs w:val="0"/>
          <w:color w:val="auto"/>
          <w:spacing w:val="2"/>
          <w:kern w:val="2"/>
          <w:sz w:val="21"/>
          <w:szCs w:val="21"/>
          <w:highlight w:val="none"/>
          <w:lang w:val="en-US" w:eastAsia="zh-CN" w:bidi="ar-SA"/>
        </w:rPr>
        <w:t>销售佣金的另10%作为交房服务保证金，待</w:t>
      </w:r>
      <w:r>
        <w:rPr>
          <w:rFonts w:hint="eastAsia" w:ascii="宋体" w:hAnsi="宋体" w:eastAsia="宋体" w:cs="宋体"/>
          <w:color w:val="auto"/>
          <w:spacing w:val="2"/>
          <w:kern w:val="2"/>
          <w:sz w:val="21"/>
          <w:szCs w:val="21"/>
          <w:highlight w:val="none"/>
          <w:lang w:val="en-US" w:eastAsia="zh-CN" w:bidi="ar-SA"/>
        </w:rPr>
        <w:t>对应房源交付完成后30日内开始结算，结算方式及周期参照上一条标准。</w:t>
      </w:r>
    </w:p>
    <w:p w14:paraId="03781DED">
      <w:pPr>
        <w:keepNext w:val="0"/>
        <w:keepLines w:val="0"/>
        <w:pageBreakBefore w:val="0"/>
        <w:widowControl w:val="0"/>
        <w:numPr>
          <w:ilvl w:val="0"/>
          <w:numId w:val="12"/>
        </w:numPr>
        <w:shd w:val="clear"/>
        <w:kinsoku/>
        <w:wordWrap/>
        <w:overflowPunct/>
        <w:topLinePunct w:val="0"/>
        <w:autoSpaceDE/>
        <w:autoSpaceDN/>
        <w:bidi w:val="0"/>
        <w:adjustRightInd/>
        <w:snapToGrid/>
        <w:spacing w:before="0" w:after="0" w:afterLines="0" w:line="360" w:lineRule="auto"/>
        <w:ind w:left="0" w:leftChars="0" w:right="0" w:firstLine="428" w:firstLineChars="200"/>
        <w:jc w:val="both"/>
        <w:textAlignment w:val="auto"/>
        <w:rPr>
          <w:rFonts w:hint="eastAsia" w:ascii="宋体" w:hAnsi="宋体" w:eastAsia="宋体" w:cs="宋体"/>
          <w:b w:val="0"/>
          <w:bCs w:val="0"/>
          <w:color w:val="auto"/>
          <w:spacing w:val="2"/>
          <w:kern w:val="2"/>
          <w:sz w:val="21"/>
          <w:szCs w:val="21"/>
          <w:highlight w:val="none"/>
          <w:lang w:val="en-US" w:eastAsia="zh-CN" w:bidi="ar-SA"/>
        </w:rPr>
      </w:pPr>
      <w:r>
        <w:rPr>
          <w:rFonts w:hint="eastAsia" w:ascii="宋体" w:hAnsi="宋体" w:eastAsia="宋体" w:cs="宋体"/>
          <w:b w:val="0"/>
          <w:bCs w:val="0"/>
          <w:color w:val="auto"/>
          <w:spacing w:val="2"/>
          <w:kern w:val="2"/>
          <w:sz w:val="21"/>
          <w:szCs w:val="21"/>
          <w:highlight w:val="none"/>
          <w:lang w:val="en-US" w:eastAsia="zh-CN" w:bidi="ar-SA"/>
        </w:rPr>
        <w:t>每次付款前，乙方均须提供与当期支付金额等额的、合法有效的增值税专用发票（税率</w:t>
      </w:r>
      <w:r>
        <w:rPr>
          <w:rFonts w:hint="eastAsia" w:ascii="宋体" w:hAnsi="宋体" w:eastAsia="宋体" w:cs="宋体"/>
          <w:b w:val="0"/>
          <w:bCs w:val="0"/>
          <w:color w:val="auto"/>
          <w:spacing w:val="2"/>
          <w:kern w:val="2"/>
          <w:sz w:val="21"/>
          <w:szCs w:val="21"/>
          <w:highlight w:val="none"/>
          <w:u w:val="single"/>
          <w:lang w:val="en-US" w:eastAsia="zh-CN" w:bidi="ar-SA"/>
        </w:rPr>
        <w:t xml:space="preserve">  </w:t>
      </w:r>
      <w:r>
        <w:rPr>
          <w:rFonts w:hint="eastAsia" w:ascii="宋体" w:hAnsi="宋体" w:eastAsia="宋体" w:cs="宋体"/>
          <w:b w:val="0"/>
          <w:bCs w:val="0"/>
          <w:color w:val="auto"/>
          <w:spacing w:val="2"/>
          <w:kern w:val="2"/>
          <w:sz w:val="21"/>
          <w:szCs w:val="21"/>
          <w:highlight w:val="none"/>
          <w:lang w:val="en-US" w:eastAsia="zh-CN" w:bidi="ar-SA"/>
        </w:rPr>
        <w:t>%），否则甲方可延期支付当期代理服务费。</w:t>
      </w:r>
    </w:p>
    <w:p w14:paraId="5A852F08">
      <w:pPr>
        <w:keepNext w:val="0"/>
        <w:keepLines w:val="0"/>
        <w:pageBreakBefore w:val="0"/>
        <w:widowControl w:val="0"/>
        <w:shd w:val="clear"/>
        <w:kinsoku/>
        <w:wordWrap/>
        <w:overflowPunct/>
        <w:topLinePunct w:val="0"/>
        <w:autoSpaceDE/>
        <w:autoSpaceDN/>
        <w:bidi w:val="0"/>
        <w:adjustRightInd/>
        <w:snapToGrid/>
        <w:spacing w:before="0" w:after="0" w:afterLines="0" w:line="360" w:lineRule="auto"/>
        <w:ind w:left="0" w:right="0" w:firstLine="428" w:firstLineChars="200"/>
        <w:jc w:val="both"/>
        <w:textAlignment w:val="auto"/>
        <w:rPr>
          <w:rFonts w:hint="default"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三）甲乙双方同意，下述工作包含在本合同范围内，但产生费用为专项费用、另行结算，由乙方在实际履约过程中向甲方提报专项方案及预算（总预算额不超过甲方确认全盘总货值的0.4%），经甲方同意后在预算限额内据实结算。</w:t>
      </w:r>
    </w:p>
    <w:p w14:paraId="1F8ECEF9">
      <w:pPr>
        <w:keepNext w:val="0"/>
        <w:keepLines w:val="0"/>
        <w:pageBreakBefore w:val="0"/>
        <w:widowControl w:val="0"/>
        <w:shd w:val="clear"/>
        <w:kinsoku/>
        <w:wordWrap/>
        <w:overflowPunct/>
        <w:topLinePunct w:val="0"/>
        <w:autoSpaceDE/>
        <w:autoSpaceDN/>
        <w:bidi w:val="0"/>
        <w:adjustRightInd/>
        <w:snapToGrid/>
        <w:spacing w:before="0" w:after="0" w:afterLines="0" w:line="360" w:lineRule="auto"/>
        <w:ind w:left="0" w:right="0" w:firstLine="428" w:firstLineChars="200"/>
        <w:jc w:val="both"/>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转介费用：包括但不限于分销机构佣金、全民经纪人佣金、业主转介佣金。转介工作执行前，乙方需提交专项方案及预算经甲方在本合同中指定的项目负责人签字并加盖甲方公章后方可执行。</w:t>
      </w:r>
    </w:p>
    <w:p w14:paraId="776ACAE5">
      <w:pPr>
        <w:keepNext w:val="0"/>
        <w:keepLines w:val="0"/>
        <w:pageBreakBefore w:val="0"/>
        <w:widowControl w:val="0"/>
        <w:shd w:val="clear"/>
        <w:kinsoku/>
        <w:wordWrap/>
        <w:overflowPunct/>
        <w:topLinePunct w:val="0"/>
        <w:autoSpaceDE/>
        <w:autoSpaceDN/>
        <w:bidi w:val="0"/>
        <w:adjustRightInd/>
        <w:snapToGrid/>
        <w:spacing w:before="0" w:after="0" w:afterLines="0" w:line="360" w:lineRule="auto"/>
        <w:ind w:left="0" w:right="0" w:firstLine="428" w:firstLineChars="200"/>
        <w:jc w:val="both"/>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转介费用发生后，乙方应于每月3日前提交上月发生结算额提交甲方指定的项目负责人签字并加盖甲方公章确认后，提供增值税发票向甲方申请支付，甲方应当在接到乙方申请后当月25日前支付。</w:t>
      </w:r>
    </w:p>
    <w:p w14:paraId="14250398">
      <w:pPr>
        <w:keepNext/>
        <w:keepLines/>
        <w:pageBreakBefore w:val="0"/>
        <w:widowControl w:val="0"/>
        <w:shd w:val="clear"/>
        <w:kinsoku/>
        <w:wordWrap/>
        <w:overflowPunct/>
        <w:topLinePunct w:val="0"/>
        <w:bidi w:val="0"/>
        <w:adjustRightInd/>
        <w:spacing w:line="360" w:lineRule="auto"/>
        <w:ind w:left="0" w:right="0" w:firstLine="422" w:firstLineChars="200"/>
        <w:jc w:val="both"/>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第六条 双方代表</w:t>
      </w:r>
    </w:p>
    <w:p w14:paraId="44309BC6">
      <w:pPr>
        <w:pageBreakBefore w:val="0"/>
        <w:widowControl w:val="0"/>
        <w:numPr>
          <w:ilvl w:val="0"/>
          <w:numId w:val="13"/>
        </w:numPr>
        <w:shd w:val="clear"/>
        <w:kinsoku/>
        <w:wordWrap/>
        <w:overflowPunct/>
        <w:topLinePunct w:val="0"/>
        <w:autoSpaceDE w:val="0"/>
        <w:autoSpaceDN w:val="0"/>
        <w:bidi w:val="0"/>
        <w:adjustRightInd/>
        <w:spacing w:line="360" w:lineRule="auto"/>
        <w:ind w:left="0" w:leftChars="0" w:right="0" w:firstLine="428"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甲乙双方均需各自指定专人（1人）为本合同履行过程中双方的代表，代表双方履行各自的权利和义务，双方代表在授权范围内行使本合同的权利并履行本合同的义务，在授权范围内由双方代表签署的意见（包括通过乙方协同办公平台签署的意见）即视为甲乙双方对该项事务的处理意见，本合同另有约定的除外；</w:t>
      </w:r>
    </w:p>
    <w:p w14:paraId="4AF0B941">
      <w:pPr>
        <w:pageBreakBefore w:val="0"/>
        <w:widowControl w:val="0"/>
        <w:shd w:val="clear"/>
        <w:kinsoku/>
        <w:wordWrap/>
        <w:overflowPunct/>
        <w:topLinePunct w:val="0"/>
        <w:autoSpaceDE w:val="0"/>
        <w:autoSpaceDN w:val="0"/>
        <w:bidi w:val="0"/>
        <w:adjustRightInd/>
        <w:spacing w:line="360" w:lineRule="auto"/>
        <w:ind w:right="0" w:firstLine="420" w:firstLineChars="200"/>
        <w:contextualSpacing/>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甲方委派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为项目负责人，联系电话：</w:t>
      </w:r>
      <w:r>
        <w:rPr>
          <w:rFonts w:hint="eastAsia" w:ascii="宋体" w:hAnsi="宋体" w:eastAsia="宋体" w:cs="宋体"/>
          <w:color w:val="auto"/>
          <w:sz w:val="21"/>
          <w:szCs w:val="21"/>
          <w:highlight w:val="none"/>
          <w:u w:val="single"/>
        </w:rPr>
        <w:t xml:space="preserve">          </w:t>
      </w:r>
    </w:p>
    <w:p w14:paraId="78D025A4">
      <w:pPr>
        <w:pageBreakBefore w:val="0"/>
        <w:widowControl w:val="0"/>
        <w:shd w:val="clear"/>
        <w:kinsoku/>
        <w:wordWrap/>
        <w:overflowPunct/>
        <w:topLinePunct w:val="0"/>
        <w:autoSpaceDE w:val="0"/>
        <w:autoSpaceDN w:val="0"/>
        <w:bidi w:val="0"/>
        <w:adjustRightInd/>
        <w:spacing w:line="360" w:lineRule="auto"/>
        <w:ind w:right="0" w:firstLine="420" w:firstLineChars="200"/>
        <w:contextualSpacing/>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乙方委派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为项目负责人，联系电话：</w:t>
      </w:r>
      <w:r>
        <w:rPr>
          <w:rFonts w:hint="eastAsia" w:ascii="宋体" w:hAnsi="宋体" w:eastAsia="宋体" w:cs="宋体"/>
          <w:color w:val="auto"/>
          <w:sz w:val="21"/>
          <w:szCs w:val="21"/>
          <w:highlight w:val="none"/>
          <w:u w:val="single"/>
        </w:rPr>
        <w:t xml:space="preserve">          </w:t>
      </w:r>
    </w:p>
    <w:p w14:paraId="1C7438E7">
      <w:pPr>
        <w:pageBreakBefore w:val="0"/>
        <w:widowControl w:val="0"/>
        <w:numPr>
          <w:ilvl w:val="0"/>
          <w:numId w:val="13"/>
        </w:numPr>
        <w:shd w:val="clear"/>
        <w:kinsoku/>
        <w:wordWrap/>
        <w:overflowPunct/>
        <w:topLinePunct w:val="0"/>
        <w:autoSpaceDE w:val="0"/>
        <w:autoSpaceDN w:val="0"/>
        <w:bidi w:val="0"/>
        <w:adjustRightInd/>
        <w:spacing w:line="360" w:lineRule="auto"/>
        <w:ind w:left="0" w:leftChars="0" w:right="0" w:firstLine="428" w:firstLineChars="200"/>
        <w:contextualSpacing/>
        <w:jc w:val="left"/>
        <w:textAlignment w:val="auto"/>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甲乙双方任何一方更换代表人选的，必须提前 5 日以书面形式加盖公司印章告知另一方。</w:t>
      </w:r>
    </w:p>
    <w:p w14:paraId="148A86CB">
      <w:pPr>
        <w:keepNext/>
        <w:keepLines/>
        <w:pageBreakBefore w:val="0"/>
        <w:widowControl w:val="0"/>
        <w:shd w:val="clear"/>
        <w:kinsoku/>
        <w:wordWrap/>
        <w:overflowPunct/>
        <w:topLinePunct w:val="0"/>
        <w:bidi w:val="0"/>
        <w:adjustRightInd/>
        <w:spacing w:line="360" w:lineRule="auto"/>
        <w:ind w:left="0" w:right="0" w:firstLine="422" w:firstLineChars="200"/>
        <w:jc w:val="both"/>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第七条 双方权利义务</w:t>
      </w:r>
    </w:p>
    <w:p w14:paraId="3BDA4A64">
      <w:pPr>
        <w:pageBreakBefore w:val="0"/>
        <w:widowControl w:val="0"/>
        <w:shd w:val="clear"/>
        <w:kinsoku/>
        <w:wordWrap/>
        <w:overflowPunct/>
        <w:topLinePunct w:val="0"/>
        <w:autoSpaceDE w:val="0"/>
        <w:autoSpaceDN w:val="0"/>
        <w:bidi w:val="0"/>
        <w:adjustRightInd/>
        <w:spacing w:line="360" w:lineRule="auto"/>
        <w:ind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（一）甲方的权利</w:t>
      </w:r>
    </w:p>
    <w:p w14:paraId="260E3B9F">
      <w:pPr>
        <w:pageBreakBefore w:val="0"/>
        <w:widowControl w:val="0"/>
        <w:numPr>
          <w:ilvl w:val="0"/>
          <w:numId w:val="14"/>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甲方有权对乙方的营销代理服务实施监督和检查，对乙方编制的各类计划及销售、广告的方案及广告费用等进行审核确认，并有权监督乙方有效地执行。</w:t>
      </w:r>
    </w:p>
    <w:p w14:paraId="143EAA78">
      <w:pPr>
        <w:pageBreakBefore w:val="0"/>
        <w:widowControl w:val="0"/>
        <w:numPr>
          <w:ilvl w:val="0"/>
          <w:numId w:val="14"/>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甲方有权对具体服务范围和服务权限作出适当调整，在书面告知乙方后即可作出相应调整，但造成乙方费用增加的，双方应当另行协商并签订补充协议确认增加的费用。</w:t>
      </w:r>
    </w:p>
    <w:p w14:paraId="09AE91F7">
      <w:pPr>
        <w:pageBreakBefore w:val="0"/>
        <w:widowControl w:val="0"/>
        <w:numPr>
          <w:ilvl w:val="0"/>
          <w:numId w:val="14"/>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甲方有权要求乙方对工作过程中可能产生不利影响的行为进行调整，乙方应执行甲方作出的决定。</w:t>
      </w:r>
    </w:p>
    <w:p w14:paraId="016BAE56">
      <w:pPr>
        <w:pageBreakBefore w:val="0"/>
        <w:widowControl w:val="0"/>
        <w:numPr>
          <w:ilvl w:val="0"/>
          <w:numId w:val="14"/>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甲方有权以书面形式要求乙方更换有下列行为的派驻人员，并不另行支付相关人员的费用： a、严重违法违纪行为；b、导致重大责任事故；c、导致不良社会影响，重大舆情事故。乙方应在收到甲方通知后15日内派出具有同等资历的人员替任，甲方有权对乙方及相关人员追究法律及经济责任。</w:t>
      </w:r>
    </w:p>
    <w:p w14:paraId="7D54D2B4">
      <w:pPr>
        <w:pStyle w:val="47"/>
        <w:keepNext w:val="0"/>
        <w:keepLines w:val="0"/>
        <w:pageBreakBefore w:val="0"/>
        <w:widowControl w:val="0"/>
        <w:numPr>
          <w:ilvl w:val="0"/>
          <w:numId w:val="14"/>
        </w:numPr>
        <w:shd w:val="clear"/>
        <w:kinsoku/>
        <w:wordWrap/>
        <w:overflowPunct/>
        <w:topLinePunct w:val="0"/>
        <w:autoSpaceDE/>
        <w:autoSpaceDN/>
        <w:bidi w:val="0"/>
        <w:adjustRightInd/>
        <w:snapToGrid/>
        <w:spacing w:before="0" w:after="0" w:line="360" w:lineRule="auto"/>
        <w:ind w:left="0" w:leftChars="0" w:firstLine="420" w:firstLineChars="200"/>
        <w:textAlignment w:val="auto"/>
        <w:outlineLvl w:val="9"/>
        <w:rPr>
          <w:rFonts w:hint="eastAsia"/>
          <w:color w:val="auto"/>
          <w:highlight w:val="none"/>
        </w:rPr>
      </w:pPr>
      <w:r>
        <w:rPr>
          <w:rFonts w:hint="eastAsia" w:ascii="Times New Roman" w:hAnsi="Times New Roman" w:eastAsia="宋体" w:cs="Times New Roman"/>
          <w:color w:val="auto"/>
          <w:kern w:val="2"/>
          <w:sz w:val="21"/>
          <w:szCs w:val="22"/>
          <w:highlight w:val="none"/>
          <w:lang w:val="en-US" w:eastAsia="zh-CN" w:bidi="ar-SA"/>
        </w:rPr>
        <w:t>甲方根据年度为单位，有权根据乙方销售业绩</w:t>
      </w:r>
      <w:r>
        <w:rPr>
          <w:rFonts w:hint="eastAsia" w:cs="Times New Roman"/>
          <w:color w:val="auto"/>
          <w:kern w:val="2"/>
          <w:sz w:val="21"/>
          <w:szCs w:val="22"/>
          <w:highlight w:val="none"/>
          <w:lang w:val="en-US" w:eastAsia="zh-CN" w:bidi="ar-SA"/>
        </w:rPr>
        <w:t>达成</w:t>
      </w:r>
      <w:r>
        <w:rPr>
          <w:rFonts w:hint="eastAsia" w:ascii="Times New Roman" w:hAnsi="Times New Roman" w:eastAsia="宋体" w:cs="Times New Roman"/>
          <w:color w:val="auto"/>
          <w:kern w:val="2"/>
          <w:sz w:val="21"/>
          <w:szCs w:val="22"/>
          <w:highlight w:val="none"/>
          <w:lang w:val="en-US" w:eastAsia="zh-CN" w:bidi="ar-SA"/>
        </w:rPr>
        <w:t>、</w:t>
      </w:r>
      <w:r>
        <w:rPr>
          <w:rFonts w:hint="eastAsia" w:eastAsia="宋体" w:cs="Times New Roman"/>
          <w:color w:val="auto"/>
          <w:kern w:val="2"/>
          <w:sz w:val="21"/>
          <w:szCs w:val="22"/>
          <w:highlight w:val="none"/>
          <w:lang w:val="en-US" w:eastAsia="zh-CN" w:bidi="ar-SA"/>
        </w:rPr>
        <w:t>案场销售风险防控</w:t>
      </w:r>
      <w:r>
        <w:rPr>
          <w:rFonts w:hint="eastAsia" w:cs="Times New Roman"/>
          <w:color w:val="auto"/>
          <w:kern w:val="2"/>
          <w:sz w:val="21"/>
          <w:szCs w:val="22"/>
          <w:highlight w:val="none"/>
          <w:lang w:val="en-US" w:eastAsia="zh-CN" w:bidi="ar-SA"/>
        </w:rPr>
        <w:t>、案场管理及客户维系等维度进行</w:t>
      </w:r>
      <w:r>
        <w:rPr>
          <w:rFonts w:hint="eastAsia" w:ascii="Times New Roman" w:hAnsi="Times New Roman" w:eastAsia="宋体" w:cs="Times New Roman"/>
          <w:color w:val="auto"/>
          <w:kern w:val="2"/>
          <w:sz w:val="21"/>
          <w:szCs w:val="22"/>
          <w:highlight w:val="none"/>
          <w:lang w:val="en-US" w:eastAsia="zh-CN" w:bidi="ar-SA"/>
        </w:rPr>
        <w:t>考核</w:t>
      </w:r>
      <w:r>
        <w:rPr>
          <w:rFonts w:hint="eastAsia" w:eastAsia="宋体" w:cs="Times New Roman"/>
          <w:color w:val="auto"/>
          <w:kern w:val="2"/>
          <w:sz w:val="21"/>
          <w:szCs w:val="22"/>
          <w:highlight w:val="none"/>
          <w:lang w:val="en-US" w:eastAsia="zh-CN" w:bidi="ar-SA"/>
        </w:rPr>
        <w:t>（考核表详见附件2）</w:t>
      </w:r>
      <w:r>
        <w:rPr>
          <w:rFonts w:hint="eastAsia" w:ascii="Times New Roman" w:hAnsi="Times New Roman" w:eastAsia="宋体" w:cs="Times New Roman"/>
          <w:color w:val="auto"/>
          <w:kern w:val="2"/>
          <w:sz w:val="21"/>
          <w:szCs w:val="22"/>
          <w:highlight w:val="none"/>
          <w:lang w:val="en-US" w:eastAsia="zh-CN" w:bidi="ar-SA"/>
        </w:rPr>
        <w:t>，如评分低于80分，</w:t>
      </w:r>
      <w:r>
        <w:rPr>
          <w:rFonts w:hint="eastAsia" w:eastAsia="宋体" w:cs="Times New Roman"/>
          <w:color w:val="auto"/>
          <w:kern w:val="2"/>
          <w:sz w:val="21"/>
          <w:szCs w:val="22"/>
          <w:highlight w:val="none"/>
          <w:lang w:val="en-US" w:eastAsia="zh-CN" w:bidi="ar-SA"/>
        </w:rPr>
        <w:t>则视同乙方违约，</w:t>
      </w:r>
      <w:r>
        <w:rPr>
          <w:rFonts w:hint="eastAsia" w:ascii="Times New Roman" w:hAnsi="Times New Roman" w:eastAsia="宋体" w:cs="Times New Roman"/>
          <w:color w:val="auto"/>
          <w:kern w:val="2"/>
          <w:sz w:val="21"/>
          <w:szCs w:val="22"/>
          <w:highlight w:val="none"/>
          <w:lang w:val="en-US" w:eastAsia="zh-CN" w:bidi="ar-SA"/>
        </w:rPr>
        <w:t>甲方有权单方面解除合同</w:t>
      </w:r>
      <w:r>
        <w:rPr>
          <w:rFonts w:hint="eastAsia" w:eastAsia="宋体" w:cs="Times New Roman"/>
          <w:color w:val="auto"/>
          <w:kern w:val="2"/>
          <w:sz w:val="21"/>
          <w:szCs w:val="22"/>
          <w:highlight w:val="none"/>
          <w:lang w:val="en-US" w:eastAsia="zh-CN" w:bidi="ar-SA"/>
        </w:rPr>
        <w:t>并要求乙方支付违约金10万元</w:t>
      </w:r>
      <w:r>
        <w:rPr>
          <w:rFonts w:hint="eastAsia" w:ascii="Times New Roman" w:hAnsi="Times New Roman" w:eastAsia="宋体" w:cs="Times New Roman"/>
          <w:color w:val="auto"/>
          <w:kern w:val="2"/>
          <w:sz w:val="21"/>
          <w:szCs w:val="22"/>
          <w:highlight w:val="none"/>
          <w:lang w:val="en-US" w:eastAsia="zh-CN" w:bidi="ar-SA"/>
        </w:rPr>
        <w:t>。</w:t>
      </w:r>
    </w:p>
    <w:p w14:paraId="2693ACA4">
      <w:pPr>
        <w:pageBreakBefore w:val="0"/>
        <w:widowControl w:val="0"/>
        <w:shd w:val="clear"/>
        <w:kinsoku/>
        <w:wordWrap/>
        <w:overflowPunct/>
        <w:topLinePunct w:val="0"/>
        <w:autoSpaceDE w:val="0"/>
        <w:autoSpaceDN w:val="0"/>
        <w:bidi w:val="0"/>
        <w:adjustRightInd/>
        <w:spacing w:line="360" w:lineRule="auto"/>
        <w:ind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（二）甲方义务</w:t>
      </w:r>
    </w:p>
    <w:p w14:paraId="3E6D00BF">
      <w:pPr>
        <w:pageBreakBefore w:val="0"/>
        <w:widowControl w:val="0"/>
        <w:numPr>
          <w:ilvl w:val="0"/>
          <w:numId w:val="15"/>
        </w:numPr>
        <w:shd w:val="clear"/>
        <w:kinsoku/>
        <w:wordWrap/>
        <w:overflowPunct/>
        <w:topLinePunct w:val="0"/>
        <w:autoSpaceDE w:val="0"/>
        <w:autoSpaceDN w:val="0"/>
        <w:bidi w:val="0"/>
        <w:adjustRightInd/>
        <w:spacing w:line="360" w:lineRule="auto"/>
        <w:ind w:left="0" w:leftChars="0" w:right="0" w:firstLine="428" w:firstLineChars="200"/>
        <w:contextualSpacing/>
        <w:jc w:val="left"/>
        <w:textAlignment w:val="auto"/>
        <w:rPr>
          <w:rFonts w:hint="eastAsia" w:ascii="宋体" w:hAnsi="宋体" w:eastAsia="宋体" w:cs="宋体"/>
          <w:b w:val="0"/>
          <w:bCs w:val="0"/>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甲</w:t>
      </w:r>
      <w:r>
        <w:rPr>
          <w:rFonts w:hint="eastAsia" w:ascii="宋体" w:hAnsi="宋体" w:eastAsia="宋体" w:cs="宋体"/>
          <w:b w:val="0"/>
          <w:bCs w:val="0"/>
          <w:color w:val="auto"/>
          <w:spacing w:val="2"/>
          <w:kern w:val="2"/>
          <w:sz w:val="21"/>
          <w:szCs w:val="21"/>
          <w:highlight w:val="none"/>
          <w:lang w:val="en-US" w:eastAsia="zh-CN" w:bidi="ar-SA"/>
        </w:rPr>
        <w:t>方负责项目售楼处及办公场所（含城市展厅、样板间、配套设施）的设计、建设、装修，采购基本办公家具（具体物资由乙方于售楼处开放接待客户前30天向甲方提供清单，甲方于售楼处开放接待客户前负责提供到位），承担售楼处及办公场所的水电费、固定电话费、宽带安装使用费、保安、保洁、绿植租赁及维护等正常运转所需费用。</w:t>
      </w:r>
    </w:p>
    <w:p w14:paraId="4F7E6198">
      <w:pPr>
        <w:pageBreakBefore w:val="0"/>
        <w:widowControl w:val="0"/>
        <w:numPr>
          <w:ilvl w:val="0"/>
          <w:numId w:val="15"/>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应保障本项目工程建设满足乙方营销需要，按期提供售楼处、样板房、实景示范区，以确保乙方销售工作的顺利开展。本项目销售许可证的获取时间节点应当由甲乙双方共同协商并书面确认，若因甲方原因造成工程进度延期或未能按确定时间提供乙方合法的可销售房源，则乙方销售进度亦相应顺延。</w:t>
      </w:r>
    </w:p>
    <w:p w14:paraId="0ECFE840">
      <w:pPr>
        <w:pageBreakBefore w:val="0"/>
        <w:widowControl w:val="0"/>
        <w:numPr>
          <w:ilvl w:val="0"/>
          <w:numId w:val="15"/>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负责及时向乙方提供与本项目开发、销售、推广宣传有关的所有资料，以保证乙方工作的正常展开。甲方同时保证所提供资料的真实和合法性，如因甲方所提供的资料不实而与任何第三方发生纠纷的，乙方均不承担任何责任。</w:t>
      </w:r>
    </w:p>
    <w:p w14:paraId="0EBCFF83">
      <w:pPr>
        <w:pageBreakBefore w:val="0"/>
        <w:widowControl w:val="0"/>
        <w:numPr>
          <w:ilvl w:val="0"/>
          <w:numId w:val="15"/>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甲方应根据合同规定按时向乙方支付约定的各项费用，以便乙方工作正常展开。</w:t>
      </w:r>
    </w:p>
    <w:p w14:paraId="57574A92">
      <w:pPr>
        <w:pageBreakBefore w:val="0"/>
        <w:widowControl w:val="0"/>
        <w:numPr>
          <w:ilvl w:val="0"/>
          <w:numId w:val="15"/>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甲方应安排专人负责售房款以及定金收取、退还，收款收据或发票的开具，销售合同的审批和交接等须以甲方名义办理的各项工作，乙方有义务根据甲方的要求进行配合，但乙方人员不得经手客户购房款项。</w:t>
      </w:r>
    </w:p>
    <w:p w14:paraId="5FE3BC06">
      <w:pPr>
        <w:pageBreakBefore w:val="0"/>
        <w:widowControl w:val="0"/>
        <w:shd w:val="clear"/>
        <w:kinsoku/>
        <w:wordWrap/>
        <w:overflowPunct/>
        <w:topLinePunct w:val="0"/>
        <w:autoSpaceDE w:val="0"/>
        <w:autoSpaceDN w:val="0"/>
        <w:bidi w:val="0"/>
        <w:adjustRightInd/>
        <w:spacing w:line="360" w:lineRule="auto"/>
        <w:ind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（三）乙方的权利</w:t>
      </w:r>
    </w:p>
    <w:p w14:paraId="30520D61">
      <w:pPr>
        <w:pageBreakBefore w:val="0"/>
        <w:widowControl w:val="0"/>
        <w:numPr>
          <w:ilvl w:val="0"/>
          <w:numId w:val="16"/>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乙方有权根据自身的管理规范和制度对销售团队进行管理，除本合同约定外，甲方不应干涉乙方对销售团队的具体管理。</w:t>
      </w:r>
    </w:p>
    <w:p w14:paraId="7FD94101">
      <w:pPr>
        <w:pageBreakBefore w:val="0"/>
        <w:widowControl w:val="0"/>
        <w:numPr>
          <w:ilvl w:val="0"/>
          <w:numId w:val="16"/>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乙方有权拒绝甲方提出的本合同约定之外或违反国家相关法律，法律、政策的要求。</w:t>
      </w:r>
    </w:p>
    <w:p w14:paraId="57D16A09">
      <w:pPr>
        <w:pageBreakBefore w:val="0"/>
        <w:widowControl w:val="0"/>
        <w:shd w:val="clear"/>
        <w:kinsoku/>
        <w:wordWrap/>
        <w:overflowPunct/>
        <w:topLinePunct w:val="0"/>
        <w:autoSpaceDE w:val="0"/>
        <w:autoSpaceDN w:val="0"/>
        <w:bidi w:val="0"/>
        <w:adjustRightInd/>
        <w:spacing w:line="360" w:lineRule="auto"/>
        <w:ind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（四）乙方义务</w:t>
      </w:r>
    </w:p>
    <w:p w14:paraId="3C2A2559">
      <w:pPr>
        <w:pageBreakBefore w:val="0"/>
        <w:widowControl w:val="0"/>
        <w:numPr>
          <w:ilvl w:val="0"/>
          <w:numId w:val="17"/>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作为本项目的营销代理服务单位，除负责本项目的全案销售代理外，还应当提供包括市场调研、产品定位、销售定价、户配建议、优惠政策、销售策略、推广策略等各个方面的配合服务工作，并根据需要向甲方提供书面成果。</w:t>
      </w:r>
    </w:p>
    <w:p w14:paraId="43CE36C1">
      <w:pPr>
        <w:pageBreakBefore w:val="0"/>
        <w:widowControl w:val="0"/>
        <w:numPr>
          <w:ilvl w:val="0"/>
          <w:numId w:val="17"/>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建销售团队。乙方承诺，销售团队所有人员需经甲方面试合格后方可上岗，所有人员的简历（包括但不限于身份信息、联系方式、住址等）在人员到岗后10日内向甲方进行书面备案,管理人员更变需经甲方书面同意，其他人员变动的需向甲方进行书面备案。</w:t>
      </w:r>
    </w:p>
    <w:p w14:paraId="7248C78C">
      <w:pPr>
        <w:pageBreakBefore w:val="0"/>
        <w:widowControl w:val="0"/>
        <w:numPr>
          <w:ilvl w:val="0"/>
          <w:numId w:val="17"/>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在甲方授权范围内进行销售，维护甲方企业形象，并严格管理销售人员说辞，乙方销售人员岗前培训方案需报甲方书面同意。乙方承诺，对销售人员进行严格岗前培训，严禁销售人员对客户进行虚假宣传、擅自承诺等，若因乙方销售人员对客户虚假宣传、不当承诺等造成甲方损失的，应由乙方赔偿。</w:t>
      </w:r>
    </w:p>
    <w:p w14:paraId="58E1EDCC">
      <w:pPr>
        <w:pageBreakBefore w:val="0"/>
        <w:widowControl w:val="0"/>
        <w:numPr>
          <w:ilvl w:val="0"/>
          <w:numId w:val="17"/>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乙方负责督促在服务期内成交的客户办理银行按揭及住房公积金手续、负责督促在服务期内成交的客户及时准备按揭所需所有资料，确保贷款资金及时到账，甲方提供协助配合。</w:t>
      </w:r>
    </w:p>
    <w:p w14:paraId="7B8AD18C">
      <w:pPr>
        <w:pageBreakBefore w:val="0"/>
        <w:widowControl w:val="0"/>
        <w:numPr>
          <w:ilvl w:val="0"/>
          <w:numId w:val="17"/>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乙方应严格按照甲方确定的销售价格进行销售，若未经甲方同意低于案场底价销售的，差额部分由乙方承担，甲方有权在乙方当期代理服务费中直接扣除。</w:t>
      </w:r>
    </w:p>
    <w:p w14:paraId="3DAC489A">
      <w:pPr>
        <w:pageBreakBefore w:val="0"/>
        <w:widowControl w:val="0"/>
        <w:numPr>
          <w:ilvl w:val="0"/>
          <w:numId w:val="17"/>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乙方应严格按照甲方审核通过的合同样本与客户签署销售合同，未经甲方同意，不得擅自变更合同条款，由此造成甲方损失的，由乙方承担。</w:t>
      </w:r>
    </w:p>
    <w:p w14:paraId="44DEB802">
      <w:pPr>
        <w:pageBreakBefore w:val="0"/>
        <w:widowControl w:val="0"/>
        <w:numPr>
          <w:ilvl w:val="0"/>
          <w:numId w:val="17"/>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项目开盘后，乙方应妥善管理销售数据和客户资料。每月10日前，乙方应出具上月销售数据管理和分析报告，并向甲方移交相应的基础数据材料。乙方负责销售合同档案管理工作，定期向甲方移交。</w:t>
      </w:r>
    </w:p>
    <w:p w14:paraId="5E6F497D">
      <w:pPr>
        <w:pageBreakBefore w:val="0"/>
        <w:widowControl w:val="0"/>
        <w:numPr>
          <w:ilvl w:val="0"/>
          <w:numId w:val="17"/>
        </w:numPr>
        <w:shd w:val="clear"/>
        <w:kinsoku/>
        <w:wordWrap/>
        <w:overflowPunct/>
        <w:topLinePunct w:val="0"/>
        <w:bidi w:val="0"/>
        <w:adjustRightInd/>
        <w:snapToGrid w:val="0"/>
        <w:spacing w:before="0" w:after="0" w:afterLines="0"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乙方承担乙方所有工作人员报酬与费用（包括但不限于薪资、社保、加班费、年终奖、福利、通讯费、交通补贴等），其为履行本合同所安排的工作人员与甲方不存在任何形式的用工关系，若上述人员与甲方发生争议，导致甲方被仲裁或诉讼，乙方应承担甲方为此支出的各项费用，包括但不限于诉讼费用、律师费、差旅费等。</w:t>
      </w:r>
    </w:p>
    <w:p w14:paraId="16C77562">
      <w:pPr>
        <w:pageBreakBefore w:val="0"/>
        <w:widowControl w:val="0"/>
        <w:numPr>
          <w:ilvl w:val="0"/>
          <w:numId w:val="17"/>
        </w:numPr>
        <w:shd w:val="clear"/>
        <w:kinsoku/>
        <w:wordWrap/>
        <w:overflowPunct/>
        <w:topLinePunct w:val="0"/>
        <w:bidi w:val="0"/>
        <w:adjustRightInd/>
        <w:snapToGrid w:val="0"/>
        <w:spacing w:before="0" w:after="0" w:afterLines="0"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乙方工作人员未经甲方同意不得经手客户缴纳的购房款项，所有销售款项必须由甲方安排的专人收取，并由甲方出具收据或者正式的商品房销售专用发票。</w:t>
      </w:r>
    </w:p>
    <w:p w14:paraId="3F44196B">
      <w:pPr>
        <w:pageBreakBefore w:val="0"/>
        <w:widowControl w:val="0"/>
        <w:numPr>
          <w:ilvl w:val="0"/>
          <w:numId w:val="17"/>
        </w:numPr>
        <w:shd w:val="clear"/>
        <w:kinsoku/>
        <w:wordWrap/>
        <w:overflowPunct/>
        <w:topLinePunct w:val="0"/>
        <w:bidi w:val="0"/>
        <w:adjustRightInd/>
        <w:snapToGrid w:val="0"/>
        <w:spacing w:before="0" w:after="0" w:afterLines="0" w:line="360" w:lineRule="auto"/>
        <w:ind w:left="0" w:leftChars="0" w:right="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乙方应自觉提高安全生产意识，确保用工安全。合同履行过程中乙方人员的一切安全责任及措施费用概由乙方负责，在合同履行过程中如发生人身伤亡事故，由乙方承担全部责任，并由乙方承担造成的经济损失和刑事责任。</w:t>
      </w:r>
    </w:p>
    <w:p w14:paraId="507864CB">
      <w:pPr>
        <w:keepNext/>
        <w:keepLines/>
        <w:pageBreakBefore w:val="0"/>
        <w:widowControl w:val="0"/>
        <w:shd w:val="clear"/>
        <w:kinsoku/>
        <w:wordWrap/>
        <w:overflowPunct/>
        <w:topLinePunct w:val="0"/>
        <w:bidi w:val="0"/>
        <w:adjustRightInd/>
        <w:spacing w:line="360" w:lineRule="auto"/>
        <w:ind w:left="0" w:right="0" w:firstLine="422" w:firstLineChars="200"/>
        <w:jc w:val="both"/>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第八条 保密条款</w:t>
      </w:r>
    </w:p>
    <w:p w14:paraId="2802838D">
      <w:pPr>
        <w:pageBreakBefore w:val="0"/>
        <w:widowControl w:val="0"/>
        <w:shd w:val="clear"/>
        <w:kinsoku/>
        <w:wordWrap/>
        <w:overflowPunct/>
        <w:topLinePunct w:val="0"/>
        <w:autoSpaceDE w:val="0"/>
        <w:autoSpaceDN w:val="0"/>
        <w:bidi w:val="0"/>
        <w:adjustRightInd/>
        <w:spacing w:line="360" w:lineRule="auto"/>
        <w:ind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双方承诺对本合同内容严格保密，包括但不限于由于签订本合同而获知的对方公司的商业秘密及有关的信息。任何一方均不得向无关人员或其他方全部或部分泄漏，或让他人全部或部分泄漏本合同，但以下情况除外：</w:t>
      </w:r>
    </w:p>
    <w:p w14:paraId="6CA9BC77">
      <w:pPr>
        <w:pageBreakBefore w:val="0"/>
        <w:widowControl w:val="0"/>
        <w:numPr>
          <w:ilvl w:val="0"/>
          <w:numId w:val="18"/>
        </w:numPr>
        <w:shd w:val="clear"/>
        <w:kinsoku/>
        <w:wordWrap/>
        <w:overflowPunct/>
        <w:topLinePunct w:val="0"/>
        <w:autoSpaceDE w:val="0"/>
        <w:autoSpaceDN w:val="0"/>
        <w:bidi w:val="0"/>
        <w:adjustRightInd/>
        <w:spacing w:line="360" w:lineRule="auto"/>
        <w:ind w:left="0" w:leftChars="0" w:right="0" w:firstLine="420" w:firstLineChars="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经本合同其他方事先书面同意；</w:t>
      </w:r>
    </w:p>
    <w:p w14:paraId="708DDE17">
      <w:pPr>
        <w:pageBreakBefore w:val="0"/>
        <w:widowControl w:val="0"/>
        <w:numPr>
          <w:ilvl w:val="0"/>
          <w:numId w:val="18"/>
        </w:numPr>
        <w:shd w:val="clear"/>
        <w:kinsoku/>
        <w:wordWrap/>
        <w:overflowPunct/>
        <w:topLinePunct w:val="0"/>
        <w:autoSpaceDE w:val="0"/>
        <w:autoSpaceDN w:val="0"/>
        <w:bidi w:val="0"/>
        <w:adjustRightInd/>
        <w:spacing w:line="360" w:lineRule="auto"/>
        <w:ind w:left="0" w:leftChars="0" w:right="0" w:firstLine="420" w:firstLineChars="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任何一方开始进行的争议解决的程序要求；</w:t>
      </w:r>
    </w:p>
    <w:p w14:paraId="1F5C55C4">
      <w:pPr>
        <w:pageBreakBefore w:val="0"/>
        <w:widowControl w:val="0"/>
        <w:numPr>
          <w:ilvl w:val="0"/>
          <w:numId w:val="18"/>
        </w:numPr>
        <w:shd w:val="clear"/>
        <w:kinsoku/>
        <w:wordWrap/>
        <w:overflowPunct/>
        <w:topLinePunct w:val="0"/>
        <w:autoSpaceDE w:val="0"/>
        <w:autoSpaceDN w:val="0"/>
        <w:bidi w:val="0"/>
        <w:adjustRightInd/>
        <w:spacing w:line="360" w:lineRule="auto"/>
        <w:ind w:left="0" w:leftChars="0" w:right="0" w:firstLine="420" w:firstLineChars="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有管辖权的政府部门根据法律或法规及上市规则义务要求，但在此情况下，被要求进行信息披露的一方必须事先通知对方；</w:t>
      </w:r>
    </w:p>
    <w:p w14:paraId="4980E962">
      <w:pPr>
        <w:pageBreakBefore w:val="0"/>
        <w:widowControl w:val="0"/>
        <w:numPr>
          <w:ilvl w:val="0"/>
          <w:numId w:val="18"/>
        </w:numPr>
        <w:shd w:val="clear"/>
        <w:kinsoku/>
        <w:wordWrap/>
        <w:overflowPunct/>
        <w:topLinePunct w:val="0"/>
        <w:autoSpaceDE w:val="0"/>
        <w:autoSpaceDN w:val="0"/>
        <w:bidi w:val="0"/>
        <w:adjustRightInd/>
        <w:spacing w:line="360" w:lineRule="auto"/>
        <w:ind w:left="0" w:leftChars="0" w:right="0" w:firstLine="420" w:firstLineChars="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向其他方的相关内部工作人员或顾问进行的披露，但以上人员应受职业保密义务的约束，并严格保证不向其他方披露所知悉的与本合同相关的任何内容；</w:t>
      </w:r>
    </w:p>
    <w:p w14:paraId="23E935B4">
      <w:pPr>
        <w:pageBreakBefore w:val="0"/>
        <w:widowControl w:val="0"/>
        <w:numPr>
          <w:ilvl w:val="0"/>
          <w:numId w:val="18"/>
        </w:numPr>
        <w:shd w:val="clear"/>
        <w:kinsoku/>
        <w:wordWrap/>
        <w:overflowPunct/>
        <w:topLinePunct w:val="0"/>
        <w:autoSpaceDE w:val="0"/>
        <w:autoSpaceDN w:val="0"/>
        <w:bidi w:val="0"/>
        <w:adjustRightInd/>
        <w:spacing w:line="360" w:lineRule="auto"/>
        <w:ind w:left="0" w:leftChars="0" w:right="0" w:firstLine="420" w:firstLineChars="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法律、法规或相关上市规则另有规定的。</w:t>
      </w:r>
    </w:p>
    <w:p w14:paraId="17F70D49">
      <w:pPr>
        <w:keepNext/>
        <w:keepLines/>
        <w:pageBreakBefore w:val="0"/>
        <w:widowControl w:val="0"/>
        <w:shd w:val="clear"/>
        <w:kinsoku/>
        <w:wordWrap/>
        <w:overflowPunct/>
        <w:topLinePunct w:val="0"/>
        <w:bidi w:val="0"/>
        <w:adjustRightInd/>
        <w:spacing w:line="360" w:lineRule="auto"/>
        <w:ind w:left="0" w:right="0" w:firstLine="422" w:firstLineChars="200"/>
        <w:jc w:val="both"/>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第九条 合同的生效、终止、变更</w:t>
      </w:r>
    </w:p>
    <w:p w14:paraId="0BA8EB5F">
      <w:pPr>
        <w:pageBreakBefore w:val="0"/>
        <w:widowControl w:val="0"/>
        <w:shd w:val="clear"/>
        <w:kinsoku/>
        <w:wordWrap/>
        <w:overflowPunct/>
        <w:topLinePunct w:val="0"/>
        <w:bidi w:val="0"/>
        <w:adjustRightInd/>
        <w:spacing w:line="360" w:lineRule="auto"/>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（一）甲乙双方任何一方无故提前解除本合同的，构成违约，应向另一方支付违约金，违约金金额为人民币10万元。</w:t>
      </w:r>
    </w:p>
    <w:p w14:paraId="354CA85C">
      <w:pPr>
        <w:pageBreakBefore w:val="0"/>
        <w:widowControl w:val="0"/>
        <w:shd w:val="clear"/>
        <w:kinsoku/>
        <w:wordWrap/>
        <w:overflowPunct/>
        <w:topLinePunct w:val="0"/>
        <w:autoSpaceDE w:val="0"/>
        <w:autoSpaceDN w:val="0"/>
        <w:bidi w:val="0"/>
        <w:adjustRightInd/>
        <w:spacing w:line="360" w:lineRule="auto"/>
        <w:ind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（二）本合同的生效，以本合同法定代表人或授权代表签字并盖章之日起生效。</w:t>
      </w:r>
    </w:p>
    <w:p w14:paraId="64FA080B">
      <w:pPr>
        <w:pageBreakBefore w:val="0"/>
        <w:widowControl w:val="0"/>
        <w:shd w:val="clear"/>
        <w:kinsoku/>
        <w:wordWrap/>
        <w:overflowPunct/>
        <w:topLinePunct w:val="0"/>
        <w:autoSpaceDE w:val="0"/>
        <w:autoSpaceDN w:val="0"/>
        <w:bidi w:val="0"/>
        <w:adjustRightInd/>
        <w:spacing w:line="360" w:lineRule="auto"/>
        <w:ind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（三）本合同履行完毕后终止或本合同被解除之日终止。</w:t>
      </w:r>
    </w:p>
    <w:p w14:paraId="25CDED52">
      <w:pPr>
        <w:pageBreakBefore w:val="0"/>
        <w:widowControl w:val="0"/>
        <w:numPr>
          <w:ilvl w:val="0"/>
          <w:numId w:val="19"/>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首期房源开盘后三个月内，乙方认购住宅面积未达到首开可售住宅面积的30%，甲方有权解除合同；每批次房源推售后六个月内，乙方认购住宅面积未达到当期推出可售住宅面积的40%，甲方有权解除合同。甲方解除合同的，双方按实际回款额进行结算（未网签备案房源</w:t>
      </w:r>
      <w:r>
        <w:rPr>
          <w:rFonts w:hint="eastAsia" w:ascii="宋体" w:hAnsi="宋体" w:cs="宋体"/>
          <w:color w:val="auto"/>
          <w:sz w:val="21"/>
          <w:szCs w:val="21"/>
          <w:highlight w:val="none"/>
          <w:lang w:val="en-US" w:eastAsia="zh-CN"/>
        </w:rPr>
        <w:t>的销售佣金</w:t>
      </w:r>
      <w:r>
        <w:rPr>
          <w:rFonts w:hint="eastAsia" w:ascii="宋体" w:hAnsi="宋体" w:eastAsia="宋体" w:cs="宋体"/>
          <w:color w:val="auto"/>
          <w:sz w:val="21"/>
          <w:szCs w:val="21"/>
          <w:highlight w:val="none"/>
        </w:rPr>
        <w:t>不予结算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未交付房源的交房服务保证金不予结算</w:t>
      </w:r>
      <w:r>
        <w:rPr>
          <w:rFonts w:hint="eastAsia" w:ascii="宋体" w:hAnsi="宋体" w:eastAsia="宋体" w:cs="宋体"/>
          <w:color w:val="auto"/>
          <w:sz w:val="21"/>
          <w:szCs w:val="21"/>
          <w:highlight w:val="none"/>
        </w:rPr>
        <w:t>）。</w:t>
      </w:r>
    </w:p>
    <w:p w14:paraId="08B7BF3B">
      <w:pPr>
        <w:pageBreakBefore w:val="0"/>
        <w:widowControl w:val="0"/>
        <w:numPr>
          <w:ilvl w:val="0"/>
          <w:numId w:val="19"/>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因乙方的责任和过失，造成甲方重大损失的（甲方经济损失达 10万元 ），甲方有权解除合同，同时，甲方有权向乙方追偿实际损失。</w:t>
      </w:r>
    </w:p>
    <w:p w14:paraId="730735DD">
      <w:pPr>
        <w:pageBreakBefore w:val="0"/>
        <w:widowControl w:val="0"/>
        <w:numPr>
          <w:ilvl w:val="0"/>
          <w:numId w:val="19"/>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因甲方原因，项目开盘时间（以甲方确认的全景计划内开盘时间为准）延后超过6个月以上的，乙方有权解除合同，除保留必要的工作交接人员外，乙方有权随时撤回其余管理团队成员。</w:t>
      </w:r>
    </w:p>
    <w:p w14:paraId="59277002">
      <w:pPr>
        <w:pageBreakBefore w:val="0"/>
        <w:widowControl w:val="0"/>
        <w:numPr>
          <w:ilvl w:val="0"/>
          <w:numId w:val="19"/>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甲方拖欠乙方代理服务费用超过180日以上的，经乙方书面通知后，若仍未于指定的合理期限内支付，乙方有权解除合同。自合同解除之日起，一个月之内双方进行结算。</w:t>
      </w:r>
    </w:p>
    <w:p w14:paraId="22C578FF">
      <w:pPr>
        <w:pageBreakBefore w:val="0"/>
        <w:widowControl w:val="0"/>
        <w:shd w:val="clear"/>
        <w:kinsoku/>
        <w:wordWrap/>
        <w:overflowPunct/>
        <w:topLinePunct w:val="0"/>
        <w:autoSpaceDE w:val="0"/>
        <w:autoSpaceDN w:val="0"/>
        <w:bidi w:val="0"/>
        <w:adjustRightInd/>
        <w:spacing w:line="360" w:lineRule="auto"/>
        <w:ind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（四）合同的变更</w:t>
      </w:r>
    </w:p>
    <w:p w14:paraId="219EEE7A">
      <w:pPr>
        <w:pageBreakBefore w:val="0"/>
        <w:widowControl w:val="0"/>
        <w:numPr>
          <w:ilvl w:val="0"/>
          <w:numId w:val="20"/>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page">
                  <wp:posOffset>6705600</wp:posOffset>
                </wp:positionH>
                <wp:positionV relativeFrom="paragraph">
                  <wp:posOffset>709930</wp:posOffset>
                </wp:positionV>
                <wp:extent cx="76835" cy="127635"/>
                <wp:effectExtent l="0" t="0" r="0" b="0"/>
                <wp:wrapNone/>
                <wp:docPr id="1169065109" name="文本框 3"/>
                <wp:cNvGraphicFramePr/>
                <a:graphic xmlns:a="http://schemas.openxmlformats.org/drawingml/2006/main">
                  <a:graphicData uri="http://schemas.microsoft.com/office/word/2010/wordprocessingShape">
                    <wps:wsp>
                      <wps:cNvSpPr txBox="1">
                        <a:spLocks noChangeArrowheads="1"/>
                      </wps:cNvSpPr>
                      <wps:spPr bwMode="auto">
                        <a:xfrm>
                          <a:off x="0" y="0"/>
                          <a:ext cx="76835" cy="127635"/>
                        </a:xfrm>
                        <a:prstGeom prst="rect">
                          <a:avLst/>
                        </a:prstGeom>
                        <a:noFill/>
                        <a:ln>
                          <a:noFill/>
                        </a:ln>
                        <a:effectLst/>
                      </wps:spPr>
                      <wps:txbx>
                        <w:txbxContent>
                          <w:p w14:paraId="6277DF6D">
                            <w:pPr>
                              <w:spacing w:line="120" w:lineRule="auto"/>
                              <w:ind w:left="20"/>
                              <w:rPr>
                                <w:rFonts w:ascii="Times New Roman" w:hAnsi="Times New Roman" w:eastAsia="宋体" w:cs="Times New Roman"/>
                                <w:sz w:val="16"/>
                              </w:rPr>
                            </w:pPr>
                            <w:r>
                              <w:rPr>
                                <w:rFonts w:hint="eastAsia" w:ascii="Times New Roman" w:hAnsi="Times New Roman" w:eastAsia="宋体" w:cs="Times New Roman"/>
                                <w:color w:val="3B3B3B"/>
                                <w:sz w:val="16"/>
                              </w:rPr>
                              <w:t>9</w:t>
                            </w:r>
                          </w:p>
                        </w:txbxContent>
                      </wps:txbx>
                      <wps:bodyPr rot="0" vert="eaVert" wrap="square" lIns="0" tIns="0" rIns="0" bIns="0" anchor="t" anchorCtr="0" upright="1">
                        <a:noAutofit/>
                      </wps:bodyPr>
                    </wps:wsp>
                  </a:graphicData>
                </a:graphic>
              </wp:anchor>
            </w:drawing>
          </mc:Choice>
          <mc:Fallback>
            <w:pict>
              <v:shape id="文本框 3" o:spid="_x0000_s1026" o:spt="202" type="#_x0000_t202" style="position:absolute;left:0pt;margin-left:528pt;margin-top:55.9pt;height:10.05pt;width:6.05pt;mso-position-horizontal-relative:page;z-index:251660288;mso-width-relative:page;mso-height-relative:page;" filled="f" stroked="f" coordsize="21600,21600" o:gfxdata="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s8WE9cAAAANAQAADwAA&#10;AAAAAAABACAAAAAiAAAAZHJzL2Rvd25yZXYueG1sUEsBAhQAFAAAAAgAh07iQL7IIxoXAgAAHAQA&#10;AA4AAAAAAAAAAQAgAAAAJgEAAGRycy9lMm9Eb2MueG1sUEsFBgAAAAAGAAYAWQEAAK8FAAAAAA==&#10;">
                <v:fill on="f" focussize="0,0"/>
                <v:stroke on="f"/>
                <v:imagedata o:title=""/>
                <o:lock v:ext="edit" aspectratio="f"/>
                <v:textbox inset="0mm,0mm,0mm,0mm" style="layout-flow:vertical-ideographic;">
                  <w:txbxContent>
                    <w:p w14:paraId="6277DF6D">
                      <w:pPr>
                        <w:spacing w:line="120" w:lineRule="auto"/>
                        <w:ind w:left="20"/>
                        <w:rPr>
                          <w:rFonts w:ascii="Times New Roman" w:hAnsi="Times New Roman" w:eastAsia="宋体" w:cs="Times New Roman"/>
                          <w:sz w:val="16"/>
                        </w:rPr>
                      </w:pPr>
                      <w:r>
                        <w:rPr>
                          <w:rFonts w:hint="eastAsia" w:ascii="Times New Roman" w:hAnsi="Times New Roman" w:eastAsia="宋体" w:cs="Times New Roman"/>
                          <w:color w:val="3B3B3B"/>
                          <w:sz w:val="16"/>
                        </w:rPr>
                        <w:t>9</w:t>
                      </w:r>
                    </w:p>
                  </w:txbxContent>
                </v:textbox>
              </v:shape>
            </w:pict>
          </mc:Fallback>
        </mc:AlternateContent>
      </w:r>
      <w:r>
        <w:rPr>
          <w:rFonts w:hint="eastAsia" w:ascii="宋体" w:hAnsi="宋体" w:eastAsia="宋体" w:cs="宋体"/>
          <w:color w:val="auto"/>
          <w:sz w:val="21"/>
          <w:szCs w:val="21"/>
          <w:highlight w:val="none"/>
        </w:rPr>
        <w:t>任何一方提出申请并经双方书面同意后，可对本合同进行变更。</w:t>
      </w:r>
    </w:p>
    <w:p w14:paraId="483DBAD0">
      <w:pPr>
        <w:pageBreakBefore w:val="0"/>
        <w:widowControl w:val="0"/>
        <w:numPr>
          <w:ilvl w:val="0"/>
          <w:numId w:val="20"/>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除本合同另有约定外，甲方增加、减少或改变本合同规定服务的形式、范围与内容，须与乙方协商一致，并签订补充协议。</w:t>
      </w:r>
    </w:p>
    <w:p w14:paraId="0BA1B187">
      <w:pPr>
        <w:keepNext/>
        <w:keepLines/>
        <w:pageBreakBefore w:val="0"/>
        <w:widowControl w:val="0"/>
        <w:shd w:val="clear"/>
        <w:kinsoku/>
        <w:wordWrap/>
        <w:overflowPunct/>
        <w:topLinePunct w:val="0"/>
        <w:bidi w:val="0"/>
        <w:adjustRightInd/>
        <w:spacing w:line="360" w:lineRule="auto"/>
        <w:ind w:left="0" w:right="0" w:firstLine="422" w:firstLineChars="200"/>
        <w:jc w:val="both"/>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第十条 不可抗力</w:t>
      </w:r>
    </w:p>
    <w:p w14:paraId="7E3E065D">
      <w:pPr>
        <w:pageBreakBefore w:val="0"/>
        <w:widowControl w:val="0"/>
        <w:numPr>
          <w:ilvl w:val="0"/>
          <w:numId w:val="21"/>
        </w:numPr>
        <w:shd w:val="clear"/>
        <w:kinsoku/>
        <w:wordWrap/>
        <w:overflowPunct/>
        <w:topLinePunct w:val="0"/>
        <w:bidi w:val="0"/>
        <w:adjustRightInd/>
        <w:spacing w:before="0" w:after="0" w:afterLines="0" w:line="360" w:lineRule="auto"/>
        <w:ind w:left="0" w:leftChars="0" w:right="0" w:firstLine="420" w:firstLineChars="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不可抗力主要包括的内容：（1）自然现象，如项目所在地发生台风、洪水、冰雹、水文地质灾害、地震等；（2）政府行为，如征收、征用 、停工令等限制或影响项目销售、开发的行政命令；（3）项目考古等。</w:t>
      </w:r>
    </w:p>
    <w:p w14:paraId="4CC8D312">
      <w:pPr>
        <w:pageBreakBefore w:val="0"/>
        <w:widowControl w:val="0"/>
        <w:numPr>
          <w:ilvl w:val="0"/>
          <w:numId w:val="21"/>
        </w:numPr>
        <w:shd w:val="clear"/>
        <w:kinsoku/>
        <w:wordWrap/>
        <w:overflowPunct/>
        <w:topLinePunct w:val="0"/>
        <w:bidi w:val="0"/>
        <w:adjustRightInd/>
        <w:spacing w:before="0" w:after="0" w:afterLines="0" w:line="360" w:lineRule="auto"/>
        <w:ind w:left="0" w:leftChars="0" w:right="0" w:firstLine="420" w:firstLineChars="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zh-TW" w:eastAsia="zh-TW" w:bidi="ar-SA"/>
        </w:rPr>
        <w:t>一方因不可抗力不能履行合同的</w:t>
      </w:r>
      <w:r>
        <w:rPr>
          <w:rFonts w:hint="eastAsia" w:ascii="宋体" w:hAnsi="宋体" w:eastAsia="宋体" w:cs="宋体"/>
          <w:color w:val="auto"/>
          <w:kern w:val="0"/>
          <w:sz w:val="21"/>
          <w:szCs w:val="21"/>
          <w:highlight w:val="none"/>
          <w:lang w:val="zh-TW" w:eastAsia="zh-CN" w:bidi="ar-SA"/>
        </w:rPr>
        <w:t>，</w:t>
      </w:r>
      <w:r>
        <w:rPr>
          <w:rFonts w:hint="eastAsia" w:ascii="宋体" w:hAnsi="宋体" w:eastAsia="宋体" w:cs="宋体"/>
          <w:color w:val="auto"/>
          <w:kern w:val="0"/>
          <w:sz w:val="21"/>
          <w:szCs w:val="21"/>
          <w:highlight w:val="none"/>
          <w:lang w:val="zh-TW" w:eastAsia="zh-TW" w:bidi="ar-SA"/>
        </w:rPr>
        <w:t>应在不可抗力发生后两日内将不可抗力事件书面通知另一方；发生不可抗力时，双方均应采取一切措施，最大程度地减少不可抗力给任何一方造成的损失</w:t>
      </w:r>
      <w:r>
        <w:rPr>
          <w:rFonts w:hint="eastAsia" w:ascii="宋体" w:hAnsi="宋体" w:eastAsia="宋体" w:cs="宋体"/>
          <w:color w:val="auto"/>
          <w:kern w:val="0"/>
          <w:sz w:val="21"/>
          <w:szCs w:val="21"/>
          <w:highlight w:val="none"/>
          <w:lang w:val="en-US" w:eastAsia="zh-CN" w:bidi="ar-SA"/>
        </w:rPr>
        <w:t>。</w:t>
      </w:r>
    </w:p>
    <w:p w14:paraId="5B1C1DFA">
      <w:pPr>
        <w:pageBreakBefore w:val="0"/>
        <w:widowControl w:val="0"/>
        <w:numPr>
          <w:ilvl w:val="0"/>
          <w:numId w:val="21"/>
        </w:numPr>
        <w:shd w:val="clear"/>
        <w:kinsoku/>
        <w:wordWrap/>
        <w:overflowPunct/>
        <w:topLinePunct w:val="0"/>
        <w:bidi w:val="0"/>
        <w:adjustRightInd/>
        <w:spacing w:before="0" w:after="0" w:afterLines="0" w:line="360" w:lineRule="auto"/>
        <w:ind w:left="0" w:leftChars="0" w:right="0" w:firstLine="420" w:firstLineChars="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双方按不可抗力对合同履行的影响程度协商决定是否解除合同、延期履行合同或者部分履行合同。</w:t>
      </w:r>
    </w:p>
    <w:p w14:paraId="2F69C403">
      <w:pPr>
        <w:pageBreakBefore w:val="0"/>
        <w:widowControl w:val="0"/>
        <w:numPr>
          <w:ilvl w:val="0"/>
          <w:numId w:val="21"/>
        </w:numPr>
        <w:shd w:val="clear"/>
        <w:kinsoku/>
        <w:wordWrap/>
        <w:overflowPunct/>
        <w:topLinePunct w:val="0"/>
        <w:bidi w:val="0"/>
        <w:adjustRightInd/>
        <w:spacing w:before="0" w:after="0" w:afterLines="0" w:line="360" w:lineRule="auto"/>
        <w:ind w:left="0" w:leftChars="0" w:right="0" w:firstLine="420" w:firstLineChars="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对因不可抗力未能履约给另一方造成的经济损失，该履约方不负赔偿责任，但本合同另有约定的除外。</w:t>
      </w:r>
    </w:p>
    <w:p w14:paraId="522247AC">
      <w:pPr>
        <w:keepNext/>
        <w:keepLines/>
        <w:pageBreakBefore w:val="0"/>
        <w:widowControl w:val="0"/>
        <w:shd w:val="clear"/>
        <w:kinsoku/>
        <w:wordWrap/>
        <w:overflowPunct/>
        <w:topLinePunct w:val="0"/>
        <w:bidi w:val="0"/>
        <w:adjustRightInd/>
        <w:spacing w:line="360" w:lineRule="auto"/>
        <w:ind w:left="0" w:right="0" w:firstLine="422" w:firstLineChars="200"/>
        <w:jc w:val="both"/>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第十一条 违约责任</w:t>
      </w:r>
    </w:p>
    <w:p w14:paraId="7E954F31">
      <w:pPr>
        <w:pageBreakBefore w:val="0"/>
        <w:widowControl w:val="0"/>
        <w:shd w:val="clear"/>
        <w:kinsoku/>
        <w:wordWrap/>
        <w:overflowPunct/>
        <w:topLinePunct w:val="0"/>
        <w:autoSpaceDE w:val="0"/>
        <w:autoSpaceDN w:val="0"/>
        <w:bidi w:val="0"/>
        <w:adjustRightInd/>
        <w:spacing w:line="360" w:lineRule="auto"/>
        <w:ind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（一）甲方的违约与赔偿：</w:t>
      </w:r>
    </w:p>
    <w:p w14:paraId="3993D8CC">
      <w:pPr>
        <w:pageBreakBefore w:val="0"/>
        <w:widowControl w:val="0"/>
        <w:shd w:val="clear"/>
        <w:kinsoku/>
        <w:wordWrap/>
        <w:overflowPunct/>
        <w:topLinePunct w:val="0"/>
        <w:autoSpaceDE w:val="0"/>
        <w:autoSpaceDN w:val="0"/>
        <w:bidi w:val="0"/>
        <w:adjustRightInd/>
        <w:spacing w:line="360" w:lineRule="auto"/>
        <w:ind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若甲方无故延期支付服务费超过180日且乙方选择不解除合同的情况下，则自延期支付第181日起，甲方按应付未付费用的每日万分之一计算违约金。</w:t>
      </w:r>
    </w:p>
    <w:p w14:paraId="586C3CDE">
      <w:pPr>
        <w:pageBreakBefore w:val="0"/>
        <w:widowControl w:val="0"/>
        <w:shd w:val="clear"/>
        <w:kinsoku/>
        <w:wordWrap/>
        <w:overflowPunct/>
        <w:topLinePunct w:val="0"/>
        <w:autoSpaceDE w:val="0"/>
        <w:autoSpaceDN w:val="0"/>
        <w:bidi w:val="0"/>
        <w:adjustRightInd/>
        <w:spacing w:line="360" w:lineRule="auto"/>
        <w:ind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（二）乙方（包括乙方工作人员等）的违约与赔偿：</w:t>
      </w:r>
    </w:p>
    <w:p w14:paraId="113047AF">
      <w:pPr>
        <w:pageBreakBefore w:val="0"/>
        <w:widowControl w:val="0"/>
        <w:numPr>
          <w:ilvl w:val="0"/>
          <w:numId w:val="0"/>
        </w:numPr>
        <w:shd w:val="clear"/>
        <w:kinsoku/>
        <w:wordWrap/>
        <w:overflowPunct/>
        <w:topLinePunct w:val="0"/>
        <w:autoSpaceDE w:val="0"/>
        <w:autoSpaceDN w:val="0"/>
        <w:bidi w:val="0"/>
        <w:adjustRightInd/>
        <w:spacing w:line="360" w:lineRule="auto"/>
        <w:ind w:left="0" w:leftChars="0" w:right="0" w:rightChars="0" w:firstLine="420" w:firstLineChars="200"/>
        <w:contextualSpacing/>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未经甲方书面许可，虚假宣传、擅自向客户承诺任何形式的折扣或优惠的，发现一例承担违约金5000元，若给甲方造成损失，甲方有权向乙方追偿；</w:t>
      </w:r>
    </w:p>
    <w:p w14:paraId="7D2D517E">
      <w:pPr>
        <w:pageBreakBefore w:val="0"/>
        <w:widowControl w:val="0"/>
        <w:numPr>
          <w:ilvl w:val="0"/>
          <w:numId w:val="0"/>
        </w:numPr>
        <w:shd w:val="clear"/>
        <w:kinsoku/>
        <w:wordWrap/>
        <w:overflowPunct/>
        <w:topLinePunct w:val="0"/>
        <w:autoSpaceDE w:val="0"/>
        <w:autoSpaceDN w:val="0"/>
        <w:bidi w:val="0"/>
        <w:adjustRightInd/>
        <w:spacing w:line="360" w:lineRule="auto"/>
        <w:ind w:left="0" w:leftChars="0" w:right="0" w:rightChars="0" w:firstLine="420" w:firstLineChars="200"/>
        <w:contextualSpacing/>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未经甲方授权，对甲方提供的房屋/车位买卖合同及补充协议以及其他任何文件进行任何修改，发现一例承担违约金5000元，若给甲方造成损失，甲方有权向乙方追偿；</w:t>
      </w:r>
    </w:p>
    <w:p w14:paraId="6F81CF3F">
      <w:pPr>
        <w:pageBreakBefore w:val="0"/>
        <w:widowControl w:val="0"/>
        <w:numPr>
          <w:ilvl w:val="0"/>
          <w:numId w:val="0"/>
        </w:numPr>
        <w:shd w:val="clear"/>
        <w:kinsoku/>
        <w:wordWrap/>
        <w:overflowPunct/>
        <w:topLinePunct w:val="0"/>
        <w:autoSpaceDE w:val="0"/>
        <w:autoSpaceDN w:val="0"/>
        <w:bidi w:val="0"/>
        <w:adjustRightInd/>
        <w:spacing w:line="360" w:lineRule="auto"/>
        <w:ind w:left="0" w:leftChars="0" w:right="0" w:rightChars="0" w:firstLine="420" w:firstLineChars="200"/>
        <w:contextualSpacing/>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乙方违反本合同约定或工作失误导致购房客户向甲方提出索赔要求，或严重损害甲方利益或社会形象的，发现一例承担违约金10000元，若给甲方造成损失，甲方有权向乙方追偿；</w:t>
      </w:r>
    </w:p>
    <w:p w14:paraId="053E40E9">
      <w:pPr>
        <w:pageBreakBefore w:val="0"/>
        <w:widowControl w:val="0"/>
        <w:numPr>
          <w:ilvl w:val="0"/>
          <w:numId w:val="0"/>
        </w:numPr>
        <w:shd w:val="clear"/>
        <w:kinsoku/>
        <w:wordWrap/>
        <w:overflowPunct/>
        <w:topLinePunct w:val="0"/>
        <w:autoSpaceDE w:val="0"/>
        <w:autoSpaceDN w:val="0"/>
        <w:bidi w:val="0"/>
        <w:adjustRightInd/>
        <w:spacing w:line="360" w:lineRule="auto"/>
        <w:ind w:left="0" w:leftChars="0" w:right="0" w:rightChars="0" w:firstLine="420" w:firstLineChars="200"/>
        <w:contextualSpacing/>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在销售过程中，乙方超出实际规划内容及房屋设计内容，向买受人进行不实介绍，导致买受人购房后与甲方产生纠纷，给甲方造成损失的，发现一例承担违约金10000元，若给甲方造成损失，甲方有权向乙方追偿；</w:t>
      </w:r>
    </w:p>
    <w:p w14:paraId="00102579">
      <w:pPr>
        <w:pageBreakBefore w:val="0"/>
        <w:widowControl w:val="0"/>
        <w:numPr>
          <w:ilvl w:val="0"/>
          <w:numId w:val="0"/>
        </w:numPr>
        <w:shd w:val="clear"/>
        <w:kinsoku/>
        <w:wordWrap/>
        <w:overflowPunct/>
        <w:topLinePunct w:val="0"/>
        <w:autoSpaceDE w:val="0"/>
        <w:autoSpaceDN w:val="0"/>
        <w:bidi w:val="0"/>
        <w:adjustRightInd/>
        <w:spacing w:line="360" w:lineRule="auto"/>
        <w:ind w:left="0" w:leftChars="0" w:right="0" w:rightChars="0" w:firstLine="420" w:firstLineChars="200"/>
        <w:contextualSpacing/>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乙方出现倒客现象，将项目包括不限于来访、来电、成交等各类客户信息泄露至其他房产项目、中介门店、分销机构等，发现一例承担违约金10000元，关联工作人员即刻离开项目岗位，若给甲方造成损失，甲方有权向乙方追偿且甲方有权解除合同；</w:t>
      </w:r>
    </w:p>
    <w:p w14:paraId="5B3B0F7D">
      <w:pPr>
        <w:pageBreakBefore w:val="0"/>
        <w:widowControl w:val="0"/>
        <w:numPr>
          <w:ilvl w:val="0"/>
          <w:numId w:val="0"/>
        </w:numPr>
        <w:shd w:val="clear"/>
        <w:kinsoku/>
        <w:wordWrap/>
        <w:overflowPunct/>
        <w:topLinePunct w:val="0"/>
        <w:autoSpaceDE w:val="0"/>
        <w:autoSpaceDN w:val="0"/>
        <w:bidi w:val="0"/>
        <w:adjustRightInd/>
        <w:spacing w:line="360" w:lineRule="auto"/>
        <w:ind w:left="0" w:leftChars="0" w:right="0" w:rightChars="0" w:firstLine="420" w:firstLineChars="200"/>
        <w:contextualSpacing/>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项目配置人员需每月进行电子打卡考核，未经甲方同意，乙方擅自变更、缩减项目营销人员配置，涉及管理人员（包括</w:t>
      </w:r>
      <w:r>
        <w:rPr>
          <w:rFonts w:hint="eastAsia" w:ascii="宋体" w:hAnsi="宋体" w:eastAsia="宋体" w:cs="宋体"/>
          <w:color w:val="auto"/>
          <w:sz w:val="21"/>
          <w:szCs w:val="21"/>
          <w:highlight w:val="none"/>
          <w:lang w:val="en-US" w:eastAsia="zh-CN"/>
        </w:rPr>
        <w:t>项目经理、</w:t>
      </w:r>
      <w:r>
        <w:rPr>
          <w:rFonts w:hint="eastAsia" w:ascii="宋体" w:hAnsi="宋体" w:eastAsia="宋体" w:cs="宋体"/>
          <w:color w:val="auto"/>
          <w:sz w:val="21"/>
          <w:szCs w:val="21"/>
          <w:highlight w:val="none"/>
        </w:rPr>
        <w:t>销售经理、销</w:t>
      </w:r>
      <w:r>
        <w:rPr>
          <w:rFonts w:hint="eastAsia" w:ascii="宋体" w:hAnsi="宋体" w:eastAsia="宋体" w:cs="宋体"/>
          <w:color w:val="auto"/>
          <w:sz w:val="21"/>
          <w:szCs w:val="21"/>
          <w:highlight w:val="none"/>
          <w:lang w:val="en-US" w:eastAsia="zh-CN"/>
        </w:rPr>
        <w:t>控主管</w:t>
      </w:r>
      <w:r>
        <w:rPr>
          <w:rFonts w:hint="eastAsia" w:ascii="宋体" w:hAnsi="宋体" w:eastAsia="宋体" w:cs="宋体"/>
          <w:color w:val="auto"/>
          <w:sz w:val="21"/>
          <w:szCs w:val="21"/>
          <w:highlight w:val="none"/>
        </w:rPr>
        <w:t>），发现一例承担违约金20000元，涉及销售人员，发现一例承担违约金10000元。若项目人员配置连续两个月或累计三个月未达合同约定营销人员配置，甲方有权解除合同；</w:t>
      </w:r>
    </w:p>
    <w:p w14:paraId="47F48301">
      <w:pPr>
        <w:pageBreakBefore w:val="0"/>
        <w:widowControl w:val="0"/>
        <w:numPr>
          <w:ilvl w:val="0"/>
          <w:numId w:val="0"/>
        </w:numPr>
        <w:shd w:val="clear"/>
        <w:kinsoku/>
        <w:wordWrap/>
        <w:overflowPunct/>
        <w:topLinePunct w:val="0"/>
        <w:autoSpaceDE w:val="0"/>
        <w:autoSpaceDN w:val="0"/>
        <w:bidi w:val="0"/>
        <w:adjustRightInd/>
        <w:spacing w:line="360" w:lineRule="auto"/>
        <w:ind w:left="0" w:leftChars="0" w:right="0" w:rightChars="0" w:firstLine="420" w:firstLineChars="200"/>
        <w:contextualSpacing/>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乙方应向甲方支付的违约金或赔偿款，甲方有权自行从应付乙方合作营销代理服务费用中直接扣除，不足的部分，甲方有权进一步追偿。</w:t>
      </w:r>
    </w:p>
    <w:p w14:paraId="0EB08CC0">
      <w:pPr>
        <w:keepNext/>
        <w:keepLines/>
        <w:pageBreakBefore w:val="0"/>
        <w:widowControl w:val="0"/>
        <w:shd w:val="clear"/>
        <w:kinsoku/>
        <w:wordWrap/>
        <w:overflowPunct/>
        <w:topLinePunct w:val="0"/>
        <w:bidi w:val="0"/>
        <w:adjustRightInd/>
        <w:spacing w:line="360" w:lineRule="auto"/>
        <w:ind w:left="0" w:right="0" w:firstLine="422" w:firstLineChars="200"/>
        <w:jc w:val="both"/>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第十二条 通知</w:t>
      </w:r>
    </w:p>
    <w:p w14:paraId="56A0937C">
      <w:pPr>
        <w:pageBreakBefore w:val="0"/>
        <w:widowControl w:val="0"/>
        <w:shd w:val="clear"/>
        <w:kinsoku/>
        <w:wordWrap/>
        <w:overflowPunct/>
        <w:topLinePunct w:val="0"/>
        <w:autoSpaceDE w:val="0"/>
        <w:autoSpaceDN w:val="0"/>
        <w:bidi w:val="0"/>
        <w:adjustRightInd/>
        <w:spacing w:line="360" w:lineRule="auto"/>
        <w:ind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（一）任何与本合同有关的通知或其他通讯往来(以下简称“通知") 应当采用书面形式(包括亲自送达、邮递)。</w:t>
      </w:r>
    </w:p>
    <w:p w14:paraId="32D370D2">
      <w:pPr>
        <w:pageBreakBefore w:val="0"/>
        <w:widowControl w:val="0"/>
        <w:shd w:val="clear"/>
        <w:kinsoku/>
        <w:wordWrap/>
        <w:overflowPunct/>
        <w:topLinePunct w:val="0"/>
        <w:autoSpaceDE w:val="0"/>
        <w:autoSpaceDN w:val="0"/>
        <w:bidi w:val="0"/>
        <w:adjustRightInd/>
        <w:spacing w:line="360" w:lineRule="auto"/>
        <w:ind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（二）任何上述通知必须以专人送递、邮递发送 。任何通知应在下列时间被视为收到：</w:t>
      </w:r>
    </w:p>
    <w:p w14:paraId="357F2C4C">
      <w:pPr>
        <w:pageBreakBefore w:val="0"/>
        <w:widowControl w:val="0"/>
        <w:numPr>
          <w:ilvl w:val="0"/>
          <w:numId w:val="22"/>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任何面呈之通知在被通知人签收时视为送达，被通知人未签收的不得视为有效的送达；</w:t>
      </w:r>
    </w:p>
    <w:p w14:paraId="7911FC8A">
      <w:pPr>
        <w:pageBreakBefore w:val="0"/>
        <w:widowControl w:val="0"/>
        <w:numPr>
          <w:ilvl w:val="0"/>
          <w:numId w:val="22"/>
        </w:numPr>
        <w:shd w:val="clear"/>
        <w:kinsoku/>
        <w:wordWrap/>
        <w:overflowPunct/>
        <w:topLinePunct w:val="0"/>
        <w:autoSpaceDE w:val="0"/>
        <w:autoSpaceDN w:val="0"/>
        <w:bidi w:val="0"/>
        <w:adjustRightInd/>
        <w:spacing w:line="360" w:lineRule="auto"/>
        <w:ind w:left="0" w:leftChars="0"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任何以邮寄方式进行的通知均应采用挂号快件或特快专递的方式进行，并在签收后视为已经送达被通知人(法定节假日顺延)；</w:t>
      </w:r>
    </w:p>
    <w:p w14:paraId="3E669291">
      <w:pPr>
        <w:pageBreakBefore w:val="0"/>
        <w:widowControl w:val="0"/>
        <w:shd w:val="clear"/>
        <w:kinsoku/>
        <w:wordWrap/>
        <w:overflowPunct/>
        <w:topLinePunct w:val="0"/>
        <w:autoSpaceDE w:val="0"/>
        <w:autoSpaceDN w:val="0"/>
        <w:bidi w:val="0"/>
        <w:adjustRightInd/>
        <w:spacing w:line="360" w:lineRule="auto"/>
        <w:ind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甲方联系人：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p>
    <w:p w14:paraId="48388DB6">
      <w:pPr>
        <w:pageBreakBefore w:val="0"/>
        <w:widowControl w:val="0"/>
        <w:shd w:val="clear"/>
        <w:kinsoku/>
        <w:wordWrap/>
        <w:overflowPunct/>
        <w:topLinePunct w:val="0"/>
        <w:autoSpaceDE w:val="0"/>
        <w:autoSpaceDN w:val="0"/>
        <w:bidi w:val="0"/>
        <w:adjustRightInd/>
        <w:spacing w:line="360" w:lineRule="auto"/>
        <w:ind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乙方联系人：</w:t>
      </w:r>
      <w:r>
        <w:rPr>
          <w:rFonts w:hint="eastAsia" w:ascii="宋体" w:hAnsi="宋体" w:eastAsia="宋体" w:cs="宋体"/>
          <w:color w:val="auto"/>
          <w:sz w:val="21"/>
          <w:szCs w:val="21"/>
          <w:highlight w:val="none"/>
          <w:u w:val="single"/>
          <w:lang w:val="en-US" w:eastAsia="zh-CN"/>
        </w:rPr>
        <w:t xml:space="preserve">         </w:t>
      </w:r>
    </w:p>
    <w:p w14:paraId="09530B18">
      <w:pPr>
        <w:keepNext/>
        <w:keepLines/>
        <w:pageBreakBefore w:val="0"/>
        <w:widowControl w:val="0"/>
        <w:shd w:val="clear"/>
        <w:kinsoku/>
        <w:wordWrap/>
        <w:overflowPunct/>
        <w:topLinePunct w:val="0"/>
        <w:bidi w:val="0"/>
        <w:adjustRightInd/>
        <w:spacing w:line="360" w:lineRule="auto"/>
        <w:ind w:left="0" w:right="0" w:firstLine="422" w:firstLineChars="200"/>
        <w:jc w:val="both"/>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第十三条 争议的解决</w:t>
      </w:r>
    </w:p>
    <w:p w14:paraId="7B854603">
      <w:pPr>
        <w:pageBreakBefore w:val="0"/>
        <w:widowControl w:val="0"/>
        <w:shd w:val="clear"/>
        <w:kinsoku/>
        <w:wordWrap/>
        <w:overflowPunct/>
        <w:topLinePunct w:val="0"/>
        <w:autoSpaceDE w:val="0"/>
        <w:autoSpaceDN w:val="0"/>
        <w:bidi w:val="0"/>
        <w:adjustRightInd/>
        <w:spacing w:line="360" w:lineRule="auto"/>
        <w:ind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本合同在履行过程中发生的争议，由双方当事人协商解决；协商不成的，双方应当依法向项目所在地人民法院提起诉讼。</w:t>
      </w:r>
    </w:p>
    <w:p w14:paraId="4A6E28C9">
      <w:pPr>
        <w:keepNext/>
        <w:keepLines/>
        <w:pageBreakBefore w:val="0"/>
        <w:widowControl w:val="0"/>
        <w:shd w:val="clear"/>
        <w:kinsoku/>
        <w:wordWrap/>
        <w:overflowPunct/>
        <w:topLinePunct w:val="0"/>
        <w:bidi w:val="0"/>
        <w:adjustRightInd/>
        <w:spacing w:line="360" w:lineRule="auto"/>
        <w:ind w:left="0" w:right="0" w:firstLine="422" w:firstLineChars="200"/>
        <w:jc w:val="both"/>
        <w:textAlignment w:val="auto"/>
        <w:outlineLvl w:val="9"/>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第十四条 合同生效</w:t>
      </w:r>
    </w:p>
    <w:p w14:paraId="4B40DBD5">
      <w:pPr>
        <w:pageBreakBefore w:val="0"/>
        <w:widowControl w:val="0"/>
        <w:shd w:val="clear"/>
        <w:kinsoku/>
        <w:wordWrap/>
        <w:overflowPunct/>
        <w:topLinePunct w:val="0"/>
        <w:autoSpaceDE w:val="0"/>
        <w:autoSpaceDN w:val="0"/>
        <w:bidi w:val="0"/>
        <w:adjustRightInd/>
        <w:spacing w:line="360" w:lineRule="auto"/>
        <w:ind w:right="0" w:firstLine="420" w:firstLineChars="200"/>
        <w:contextualSpacing/>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本合同</w:t>
      </w:r>
      <w:r>
        <w:rPr>
          <w:rFonts w:hint="eastAsia" w:ascii="宋体" w:hAnsi="宋体" w:eastAsia="宋体" w:cs="宋体"/>
          <w:color w:val="auto"/>
          <w:sz w:val="21"/>
          <w:szCs w:val="21"/>
          <w:highlight w:val="none"/>
        </w:rPr>
        <w:t>壹式肆份，甲乙双方各执贰份，具有同等法律效力。</w:t>
      </w:r>
      <w:r>
        <w:rPr>
          <w:rFonts w:hint="eastAsia" w:ascii="宋体" w:hAnsi="宋体" w:eastAsia="宋体" w:cs="宋体"/>
          <w:color w:val="auto"/>
          <w:sz w:val="21"/>
          <w:szCs w:val="21"/>
          <w:highlight w:val="none"/>
          <w:lang w:eastAsia="zh-CN"/>
        </w:rPr>
        <w:t>本合同</w:t>
      </w:r>
      <w:r>
        <w:rPr>
          <w:rFonts w:hint="eastAsia" w:ascii="宋体" w:hAnsi="宋体" w:eastAsia="宋体" w:cs="宋体"/>
          <w:color w:val="auto"/>
          <w:sz w:val="21"/>
          <w:szCs w:val="21"/>
          <w:highlight w:val="none"/>
        </w:rPr>
        <w:t>自三方盖章并签字之日起生效。</w:t>
      </w:r>
      <w:r>
        <w:rPr>
          <w:rFonts w:hint="eastAsia" w:ascii="宋体" w:hAnsi="宋体" w:eastAsia="宋体" w:cs="宋体"/>
          <w:color w:val="auto"/>
          <w:sz w:val="21"/>
          <w:szCs w:val="21"/>
          <w:highlight w:val="none"/>
          <w:lang w:eastAsia="zh-CN"/>
        </w:rPr>
        <w:t>本合同</w:t>
      </w:r>
      <w:r>
        <w:rPr>
          <w:rFonts w:hint="eastAsia" w:ascii="宋体" w:hAnsi="宋体" w:eastAsia="宋体" w:cs="宋体"/>
          <w:color w:val="auto"/>
          <w:sz w:val="21"/>
          <w:szCs w:val="21"/>
          <w:highlight w:val="none"/>
        </w:rPr>
        <w:t>未尽事宜，甲、乙双方可另行协商解决。</w:t>
      </w:r>
    </w:p>
    <w:p w14:paraId="588AB0A3">
      <w:pPr>
        <w:widowControl w:val="0"/>
        <w:shd w:val="clear"/>
        <w:snapToGrid w:val="0"/>
        <w:spacing w:line="480" w:lineRule="exact"/>
        <w:jc w:val="both"/>
        <w:rPr>
          <w:rFonts w:ascii="宋体" w:hAnsi="宋体" w:eastAsia="宋体" w:cs="宋体"/>
          <w:b/>
          <w:bCs/>
          <w:color w:val="auto"/>
          <w:kern w:val="0"/>
          <w:sz w:val="21"/>
          <w:szCs w:val="21"/>
          <w:highlight w:val="none"/>
          <w:lang w:val="en-US" w:eastAsia="zh-CN" w:bidi="ar-SA"/>
        </w:rPr>
      </w:pPr>
    </w:p>
    <w:tbl>
      <w:tblPr>
        <w:tblStyle w:val="3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4"/>
        <w:gridCol w:w="4866"/>
      </w:tblGrid>
      <w:tr w14:paraId="35EF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noWrap w:val="0"/>
            <w:vAlign w:val="top"/>
          </w:tcPr>
          <w:p w14:paraId="5BB60B3A">
            <w:pPr>
              <w:keepNext/>
              <w:keepLines/>
              <w:widowControl w:val="0"/>
              <w:shd w:val="clear"/>
              <w:tabs>
                <w:tab w:val="left" w:pos="6892"/>
              </w:tabs>
              <w:spacing w:before="0" w:after="0" w:line="360" w:lineRule="auto"/>
              <w:ind w:left="1440" w:hanging="1440"/>
              <w:jc w:val="both"/>
              <w:outlineLvl w:val="7"/>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甲方（章）：</w:t>
            </w:r>
            <w:r>
              <w:rPr>
                <w:rFonts w:hint="eastAsia" w:ascii="宋体" w:hAnsi="宋体" w:eastAsia="宋体" w:cs="宋体"/>
                <w:color w:val="auto"/>
                <w:kern w:val="0"/>
                <w:sz w:val="21"/>
                <w:szCs w:val="21"/>
                <w:highlight w:val="none"/>
                <w:u w:val="single"/>
                <w:lang w:val="en-US" w:eastAsia="zh-CN" w:bidi="ar-SA"/>
              </w:rPr>
              <w:t xml:space="preserve">                       </w:t>
            </w:r>
          </w:p>
          <w:p w14:paraId="140AF431">
            <w:pPr>
              <w:widowControl w:val="0"/>
              <w:shd w:val="clear"/>
              <w:spacing w:after="0" w:line="360" w:lineRule="auto"/>
              <w:ind w:left="300" w:firstLine="420"/>
              <w:jc w:val="both"/>
              <w:rPr>
                <w:rFonts w:ascii="宋体" w:hAnsi="宋体" w:eastAsia="宋体" w:cs="宋体"/>
                <w:color w:val="auto"/>
                <w:kern w:val="0"/>
                <w:sz w:val="21"/>
                <w:szCs w:val="21"/>
                <w:highlight w:val="none"/>
                <w:lang w:val="en-GB" w:eastAsia="zh-CN" w:bidi="ar-SA"/>
              </w:rPr>
            </w:pPr>
          </w:p>
        </w:tc>
        <w:tc>
          <w:tcPr>
            <w:tcW w:w="2500" w:type="pct"/>
            <w:noWrap w:val="0"/>
            <w:vAlign w:val="top"/>
          </w:tcPr>
          <w:p w14:paraId="4D34EA6A">
            <w:pPr>
              <w:keepNext/>
              <w:keepLines/>
              <w:widowControl w:val="0"/>
              <w:shd w:val="clear"/>
              <w:tabs>
                <w:tab w:val="left" w:pos="6892"/>
              </w:tabs>
              <w:spacing w:before="0" w:after="0" w:line="360" w:lineRule="auto"/>
              <w:ind w:left="1440" w:hanging="1440"/>
              <w:jc w:val="both"/>
              <w:outlineLvl w:val="7"/>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乙方（章）：</w:t>
            </w:r>
            <w:r>
              <w:rPr>
                <w:rFonts w:hint="eastAsia" w:ascii="宋体" w:hAnsi="宋体" w:eastAsia="宋体" w:cs="宋体"/>
                <w:color w:val="auto"/>
                <w:kern w:val="0"/>
                <w:sz w:val="21"/>
                <w:szCs w:val="21"/>
                <w:highlight w:val="none"/>
                <w:u w:val="single"/>
                <w:lang w:val="en-US" w:eastAsia="zh-CN" w:bidi="ar-SA"/>
              </w:rPr>
              <w:t xml:space="preserve">                        </w:t>
            </w:r>
          </w:p>
          <w:p w14:paraId="3E08762B">
            <w:pPr>
              <w:widowControl w:val="0"/>
              <w:shd w:val="clear"/>
              <w:spacing w:after="0" w:line="360" w:lineRule="auto"/>
              <w:ind w:left="300" w:firstLine="420"/>
              <w:jc w:val="both"/>
              <w:rPr>
                <w:rFonts w:ascii="宋体" w:hAnsi="宋体" w:eastAsia="宋体" w:cs="宋体"/>
                <w:color w:val="auto"/>
                <w:kern w:val="0"/>
                <w:sz w:val="21"/>
                <w:szCs w:val="21"/>
                <w:highlight w:val="none"/>
                <w:lang w:val="en-GB" w:eastAsia="zh-CN" w:bidi="ar-SA"/>
              </w:rPr>
            </w:pPr>
          </w:p>
        </w:tc>
      </w:tr>
      <w:tr w14:paraId="62979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noWrap w:val="0"/>
            <w:vAlign w:val="top"/>
          </w:tcPr>
          <w:p w14:paraId="175C8241">
            <w:pPr>
              <w:widowControl w:val="0"/>
              <w:shd w:val="clear"/>
              <w:tabs>
                <w:tab w:val="left" w:pos="7033"/>
              </w:tabs>
              <w:spacing w:line="360" w:lineRule="auto"/>
              <w:jc w:val="both"/>
              <w:rPr>
                <w:rFonts w:ascii="宋体" w:hAnsi="宋体" w:eastAsia="宋体" w:cs="宋体"/>
                <w:color w:val="auto"/>
                <w:kern w:val="0"/>
                <w:sz w:val="21"/>
                <w:szCs w:val="21"/>
                <w:highlight w:val="none"/>
                <w:u w:val="single"/>
                <w:lang w:val="en-US" w:eastAsia="zh-CN" w:bidi="ar-SA"/>
              </w:rPr>
            </w:pPr>
            <w:r>
              <w:rPr>
                <w:rFonts w:hint="eastAsia" w:ascii="宋体" w:hAnsi="宋体" w:eastAsia="宋体" w:cs="宋体"/>
                <w:color w:val="auto"/>
                <w:spacing w:val="-2"/>
                <w:kern w:val="0"/>
                <w:sz w:val="21"/>
                <w:szCs w:val="21"/>
                <w:highlight w:val="none"/>
                <w:lang w:val="en-US" w:eastAsia="zh-CN" w:bidi="ar-SA"/>
              </w:rPr>
              <w:t>法</w:t>
            </w:r>
            <w:r>
              <w:rPr>
                <w:rFonts w:hint="eastAsia" w:ascii="宋体" w:hAnsi="宋体" w:eastAsia="宋体" w:cs="宋体"/>
                <w:color w:val="auto"/>
                <w:spacing w:val="-3"/>
                <w:kern w:val="0"/>
                <w:sz w:val="21"/>
                <w:szCs w:val="21"/>
                <w:highlight w:val="none"/>
                <w:lang w:val="en-US" w:eastAsia="zh-CN" w:bidi="ar-SA"/>
              </w:rPr>
              <w:t>定</w:t>
            </w:r>
            <w:r>
              <w:rPr>
                <w:rFonts w:hint="eastAsia" w:ascii="宋体" w:hAnsi="宋体" w:eastAsia="宋体" w:cs="宋体"/>
                <w:color w:val="auto"/>
                <w:spacing w:val="-2"/>
                <w:kern w:val="0"/>
                <w:sz w:val="21"/>
                <w:szCs w:val="21"/>
                <w:highlight w:val="none"/>
                <w:lang w:val="en-US" w:eastAsia="zh-CN" w:bidi="ar-SA"/>
              </w:rPr>
              <w:t>代</w:t>
            </w:r>
            <w:r>
              <w:rPr>
                <w:rFonts w:hint="eastAsia" w:ascii="宋体" w:hAnsi="宋体" w:eastAsia="宋体" w:cs="宋体"/>
                <w:color w:val="auto"/>
                <w:spacing w:val="-1"/>
                <w:kern w:val="0"/>
                <w:sz w:val="21"/>
                <w:szCs w:val="21"/>
                <w:highlight w:val="none"/>
                <w:lang w:val="en-US" w:eastAsia="zh-CN" w:bidi="ar-SA"/>
              </w:rPr>
              <w:t>表</w:t>
            </w:r>
            <w:r>
              <w:rPr>
                <w:rFonts w:hint="eastAsia" w:ascii="宋体" w:hAnsi="宋体" w:eastAsia="宋体" w:cs="宋体"/>
                <w:color w:val="auto"/>
                <w:spacing w:val="-3"/>
                <w:kern w:val="0"/>
                <w:sz w:val="21"/>
                <w:szCs w:val="21"/>
                <w:highlight w:val="none"/>
                <w:lang w:val="en-US" w:eastAsia="zh-CN" w:bidi="ar-SA"/>
              </w:rPr>
              <w:t>人</w:t>
            </w:r>
            <w:r>
              <w:rPr>
                <w:rFonts w:hint="eastAsia" w:ascii="宋体" w:hAnsi="宋体" w:eastAsia="宋体" w:cs="宋体"/>
                <w:color w:val="auto"/>
                <w:spacing w:val="-1"/>
                <w:kern w:val="0"/>
                <w:sz w:val="21"/>
                <w:szCs w:val="21"/>
                <w:highlight w:val="none"/>
                <w:lang w:val="en-US" w:eastAsia="zh-CN" w:bidi="ar-SA"/>
              </w:rPr>
              <w:t>或授</w:t>
            </w:r>
            <w:r>
              <w:rPr>
                <w:rFonts w:hint="eastAsia" w:ascii="宋体" w:hAnsi="宋体" w:eastAsia="宋体" w:cs="宋体"/>
                <w:color w:val="auto"/>
                <w:spacing w:val="-3"/>
                <w:kern w:val="0"/>
                <w:sz w:val="21"/>
                <w:szCs w:val="21"/>
                <w:highlight w:val="none"/>
                <w:lang w:val="en-US" w:eastAsia="zh-CN" w:bidi="ar-SA"/>
              </w:rPr>
              <w:t>权</w:t>
            </w:r>
            <w:r>
              <w:rPr>
                <w:rFonts w:hint="eastAsia" w:ascii="宋体" w:hAnsi="宋体" w:eastAsia="宋体" w:cs="宋体"/>
                <w:color w:val="auto"/>
                <w:spacing w:val="-1"/>
                <w:kern w:val="0"/>
                <w:sz w:val="21"/>
                <w:szCs w:val="21"/>
                <w:highlight w:val="none"/>
                <w:lang w:val="en-US" w:eastAsia="zh-CN" w:bidi="ar-SA"/>
              </w:rPr>
              <w:t>代表</w:t>
            </w:r>
            <w:r>
              <w:rPr>
                <w:rFonts w:hint="eastAsia" w:ascii="宋体" w:hAnsi="宋体" w:eastAsia="宋体" w:cs="宋体"/>
                <w:color w:val="auto"/>
                <w:spacing w:val="-3"/>
                <w:kern w:val="0"/>
                <w:sz w:val="21"/>
                <w:szCs w:val="21"/>
                <w:highlight w:val="none"/>
                <w:lang w:val="en-US" w:eastAsia="zh-CN" w:bidi="ar-SA"/>
              </w:rPr>
              <w:t>（</w:t>
            </w:r>
            <w:r>
              <w:rPr>
                <w:rFonts w:hint="eastAsia" w:ascii="宋体" w:hAnsi="宋体" w:eastAsia="宋体" w:cs="宋体"/>
                <w:color w:val="auto"/>
                <w:spacing w:val="-1"/>
                <w:kern w:val="0"/>
                <w:sz w:val="21"/>
                <w:szCs w:val="21"/>
                <w:highlight w:val="none"/>
                <w:lang w:val="en-US" w:eastAsia="zh-CN" w:bidi="ar-SA"/>
              </w:rPr>
              <w:t>签字）：</w:t>
            </w:r>
            <w:r>
              <w:rPr>
                <w:rFonts w:hint="eastAsia" w:ascii="宋体" w:hAnsi="宋体" w:eastAsia="宋体" w:cs="宋体"/>
                <w:color w:val="auto"/>
                <w:spacing w:val="-1"/>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u w:val="single"/>
                <w:lang w:val="en-US" w:eastAsia="zh-CN" w:bidi="ar-SA"/>
              </w:rPr>
              <w:t xml:space="preserve"> </w:t>
            </w:r>
          </w:p>
          <w:p w14:paraId="375A41D6">
            <w:pPr>
              <w:widowControl w:val="0"/>
              <w:shd w:val="clear"/>
              <w:spacing w:after="0" w:line="360" w:lineRule="auto"/>
              <w:ind w:left="300" w:firstLine="420"/>
              <w:jc w:val="both"/>
              <w:rPr>
                <w:rFonts w:ascii="宋体" w:hAnsi="宋体" w:eastAsia="宋体" w:cs="宋体"/>
                <w:color w:val="auto"/>
                <w:kern w:val="0"/>
                <w:sz w:val="21"/>
                <w:szCs w:val="21"/>
                <w:highlight w:val="none"/>
                <w:lang w:val="en-GB" w:eastAsia="zh-CN" w:bidi="ar-SA"/>
              </w:rPr>
            </w:pPr>
          </w:p>
        </w:tc>
        <w:tc>
          <w:tcPr>
            <w:tcW w:w="2500" w:type="pct"/>
            <w:noWrap w:val="0"/>
            <w:vAlign w:val="top"/>
          </w:tcPr>
          <w:p w14:paraId="17F79DE7">
            <w:pPr>
              <w:widowControl w:val="0"/>
              <w:shd w:val="clear"/>
              <w:tabs>
                <w:tab w:val="left" w:pos="7254"/>
              </w:tabs>
              <w:spacing w:line="360" w:lineRule="auto"/>
              <w:jc w:val="both"/>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spacing w:val="-2"/>
                <w:kern w:val="0"/>
                <w:sz w:val="21"/>
                <w:szCs w:val="21"/>
                <w:highlight w:val="none"/>
                <w:lang w:val="en-US" w:eastAsia="zh-CN" w:bidi="ar-SA"/>
              </w:rPr>
              <w:t>法</w:t>
            </w:r>
            <w:r>
              <w:rPr>
                <w:rFonts w:hint="eastAsia" w:ascii="宋体" w:hAnsi="宋体" w:eastAsia="宋体" w:cs="宋体"/>
                <w:color w:val="auto"/>
                <w:spacing w:val="-3"/>
                <w:kern w:val="0"/>
                <w:sz w:val="21"/>
                <w:szCs w:val="21"/>
                <w:highlight w:val="none"/>
                <w:lang w:val="en-US" w:eastAsia="zh-CN" w:bidi="ar-SA"/>
              </w:rPr>
              <w:t>定</w:t>
            </w:r>
            <w:r>
              <w:rPr>
                <w:rFonts w:hint="eastAsia" w:ascii="宋体" w:hAnsi="宋体" w:eastAsia="宋体" w:cs="宋体"/>
                <w:color w:val="auto"/>
                <w:spacing w:val="-2"/>
                <w:kern w:val="0"/>
                <w:sz w:val="21"/>
                <w:szCs w:val="21"/>
                <w:highlight w:val="none"/>
                <w:lang w:val="en-US" w:eastAsia="zh-CN" w:bidi="ar-SA"/>
              </w:rPr>
              <w:t>代</w:t>
            </w:r>
            <w:r>
              <w:rPr>
                <w:rFonts w:hint="eastAsia" w:ascii="宋体" w:hAnsi="宋体" w:eastAsia="宋体" w:cs="宋体"/>
                <w:color w:val="auto"/>
                <w:spacing w:val="-1"/>
                <w:kern w:val="0"/>
                <w:sz w:val="21"/>
                <w:szCs w:val="21"/>
                <w:highlight w:val="none"/>
                <w:lang w:val="en-US" w:eastAsia="zh-CN" w:bidi="ar-SA"/>
              </w:rPr>
              <w:t>表</w:t>
            </w:r>
            <w:r>
              <w:rPr>
                <w:rFonts w:hint="eastAsia" w:ascii="宋体" w:hAnsi="宋体" w:eastAsia="宋体" w:cs="宋体"/>
                <w:color w:val="auto"/>
                <w:spacing w:val="-3"/>
                <w:kern w:val="0"/>
                <w:sz w:val="21"/>
                <w:szCs w:val="21"/>
                <w:highlight w:val="none"/>
                <w:lang w:val="en-US" w:eastAsia="zh-CN" w:bidi="ar-SA"/>
              </w:rPr>
              <w:t>人</w:t>
            </w:r>
            <w:r>
              <w:rPr>
                <w:rFonts w:hint="eastAsia" w:ascii="宋体" w:hAnsi="宋体" w:eastAsia="宋体" w:cs="宋体"/>
                <w:color w:val="auto"/>
                <w:spacing w:val="-1"/>
                <w:kern w:val="0"/>
                <w:sz w:val="21"/>
                <w:szCs w:val="21"/>
                <w:highlight w:val="none"/>
                <w:lang w:val="en-US" w:eastAsia="zh-CN" w:bidi="ar-SA"/>
              </w:rPr>
              <w:t>或授</w:t>
            </w:r>
            <w:r>
              <w:rPr>
                <w:rFonts w:hint="eastAsia" w:ascii="宋体" w:hAnsi="宋体" w:eastAsia="宋体" w:cs="宋体"/>
                <w:color w:val="auto"/>
                <w:spacing w:val="-3"/>
                <w:kern w:val="0"/>
                <w:sz w:val="21"/>
                <w:szCs w:val="21"/>
                <w:highlight w:val="none"/>
                <w:lang w:val="en-US" w:eastAsia="zh-CN" w:bidi="ar-SA"/>
              </w:rPr>
              <w:t>权</w:t>
            </w:r>
            <w:r>
              <w:rPr>
                <w:rFonts w:hint="eastAsia" w:ascii="宋体" w:hAnsi="宋体" w:eastAsia="宋体" w:cs="宋体"/>
                <w:color w:val="auto"/>
                <w:spacing w:val="-1"/>
                <w:kern w:val="0"/>
                <w:sz w:val="21"/>
                <w:szCs w:val="21"/>
                <w:highlight w:val="none"/>
                <w:lang w:val="en-US" w:eastAsia="zh-CN" w:bidi="ar-SA"/>
              </w:rPr>
              <w:t>代表</w:t>
            </w:r>
            <w:r>
              <w:rPr>
                <w:rFonts w:hint="eastAsia" w:ascii="宋体" w:hAnsi="宋体" w:eastAsia="宋体" w:cs="宋体"/>
                <w:color w:val="auto"/>
                <w:spacing w:val="-3"/>
                <w:kern w:val="0"/>
                <w:sz w:val="21"/>
                <w:szCs w:val="21"/>
                <w:highlight w:val="none"/>
                <w:lang w:val="en-US" w:eastAsia="zh-CN" w:bidi="ar-SA"/>
              </w:rPr>
              <w:t>（</w:t>
            </w:r>
            <w:r>
              <w:rPr>
                <w:rFonts w:hint="eastAsia" w:ascii="宋体" w:hAnsi="宋体" w:eastAsia="宋体" w:cs="宋体"/>
                <w:color w:val="auto"/>
                <w:spacing w:val="-1"/>
                <w:kern w:val="0"/>
                <w:sz w:val="21"/>
                <w:szCs w:val="21"/>
                <w:highlight w:val="none"/>
                <w:lang w:val="en-US" w:eastAsia="zh-CN" w:bidi="ar-SA"/>
              </w:rPr>
              <w:t>签字）：</w:t>
            </w:r>
            <w:r>
              <w:rPr>
                <w:rFonts w:hint="eastAsia" w:ascii="宋体" w:hAnsi="宋体" w:eastAsia="宋体" w:cs="宋体"/>
                <w:color w:val="auto"/>
                <w:spacing w:val="-1"/>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u w:val="single"/>
                <w:lang w:val="en-US" w:eastAsia="zh-CN" w:bidi="ar-SA"/>
              </w:rPr>
              <w:t xml:space="preserve"> </w:t>
            </w:r>
          </w:p>
          <w:p w14:paraId="46907DD6">
            <w:pPr>
              <w:widowControl w:val="0"/>
              <w:shd w:val="clear"/>
              <w:spacing w:after="0" w:line="360" w:lineRule="auto"/>
              <w:ind w:left="300" w:firstLine="420"/>
              <w:jc w:val="both"/>
              <w:rPr>
                <w:rFonts w:ascii="宋体" w:hAnsi="宋体" w:eastAsia="宋体" w:cs="宋体"/>
                <w:color w:val="auto"/>
                <w:kern w:val="0"/>
                <w:sz w:val="21"/>
                <w:szCs w:val="21"/>
                <w:highlight w:val="none"/>
                <w:lang w:val="en-GB" w:eastAsia="zh-CN" w:bidi="ar-SA"/>
              </w:rPr>
            </w:pPr>
          </w:p>
        </w:tc>
      </w:tr>
      <w:tr w14:paraId="31FD8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499" w:type="pct"/>
            <w:noWrap w:val="0"/>
            <w:vAlign w:val="top"/>
          </w:tcPr>
          <w:p w14:paraId="7F4967AA">
            <w:pPr>
              <w:widowControl w:val="0"/>
              <w:shd w:val="clear"/>
              <w:spacing w:after="0" w:line="360" w:lineRule="auto"/>
              <w:ind w:left="300" w:firstLine="420"/>
              <w:jc w:val="both"/>
              <w:rPr>
                <w:rFonts w:ascii="宋体" w:hAnsi="宋体" w:eastAsia="宋体" w:cs="宋体"/>
                <w:color w:val="auto"/>
                <w:kern w:val="0"/>
                <w:sz w:val="21"/>
                <w:szCs w:val="21"/>
                <w:highlight w:val="none"/>
                <w:lang w:val="en-GB" w:eastAsia="zh-CN" w:bidi="ar-SA"/>
              </w:rPr>
            </w:pPr>
          </w:p>
        </w:tc>
        <w:tc>
          <w:tcPr>
            <w:tcW w:w="2500" w:type="pct"/>
            <w:noWrap w:val="0"/>
            <w:vAlign w:val="top"/>
          </w:tcPr>
          <w:p w14:paraId="35EEB5A4">
            <w:pPr>
              <w:widowControl w:val="0"/>
              <w:shd w:val="clear"/>
              <w:spacing w:after="0" w:line="360" w:lineRule="auto"/>
              <w:ind w:left="300" w:firstLine="420"/>
              <w:jc w:val="both"/>
              <w:rPr>
                <w:rFonts w:ascii="宋体" w:hAnsi="宋体" w:eastAsia="宋体" w:cs="宋体"/>
                <w:color w:val="auto"/>
                <w:kern w:val="0"/>
                <w:sz w:val="21"/>
                <w:szCs w:val="21"/>
                <w:highlight w:val="none"/>
                <w:lang w:val="en-GB" w:eastAsia="zh-CN" w:bidi="ar-SA"/>
              </w:rPr>
            </w:pPr>
          </w:p>
        </w:tc>
      </w:tr>
      <w:tr w14:paraId="012F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noWrap w:val="0"/>
            <w:vAlign w:val="top"/>
          </w:tcPr>
          <w:p w14:paraId="44AE38B7">
            <w:pPr>
              <w:widowControl w:val="0"/>
              <w:shd w:val="clear"/>
              <w:spacing w:after="0" w:line="360" w:lineRule="auto"/>
              <w:ind w:left="0" w:firstLine="0"/>
              <w:jc w:val="both"/>
              <w:rPr>
                <w:rFonts w:ascii="宋体" w:hAnsi="宋体" w:eastAsia="宋体" w:cs="宋体"/>
                <w:color w:val="auto"/>
                <w:kern w:val="0"/>
                <w:sz w:val="21"/>
                <w:szCs w:val="21"/>
                <w:highlight w:val="none"/>
                <w:lang w:val="en-GB" w:eastAsia="zh-CN" w:bidi="ar-SA"/>
              </w:rPr>
            </w:pPr>
            <w:r>
              <w:rPr>
                <w:rFonts w:hint="eastAsia" w:ascii="宋体" w:hAnsi="宋体" w:eastAsia="宋体" w:cs="宋体"/>
                <w:color w:val="auto"/>
                <w:kern w:val="0"/>
                <w:sz w:val="21"/>
                <w:szCs w:val="21"/>
                <w:highlight w:val="none"/>
                <w:lang w:val="en-GB" w:eastAsia="zh-CN" w:bidi="ar-SA"/>
              </w:rPr>
              <w:t>见证方（</w:t>
            </w:r>
            <w:r>
              <w:rPr>
                <w:rFonts w:hint="eastAsia" w:ascii="宋体" w:hAnsi="宋体" w:eastAsia="宋体" w:cs="宋体"/>
                <w:color w:val="auto"/>
                <w:kern w:val="0"/>
                <w:sz w:val="21"/>
                <w:szCs w:val="21"/>
                <w:highlight w:val="none"/>
                <w:lang w:val="en-US" w:eastAsia="zh-CN" w:bidi="ar-SA"/>
              </w:rPr>
              <w:t>章）</w:t>
            </w:r>
            <w:r>
              <w:rPr>
                <w:rFonts w:hint="eastAsia" w:ascii="宋体" w:hAnsi="宋体" w:eastAsia="宋体" w:cs="宋体"/>
                <w:color w:val="auto"/>
                <w:kern w:val="0"/>
                <w:sz w:val="21"/>
                <w:szCs w:val="21"/>
                <w:highlight w:val="none"/>
                <w:lang w:val="en-GB" w:eastAsia="zh-CN" w:bidi="ar-SA"/>
              </w:rPr>
              <w:t>：</w:t>
            </w:r>
            <w:r>
              <w:rPr>
                <w:rFonts w:hint="eastAsia" w:ascii="宋体" w:hAnsi="宋体" w:eastAsia="宋体" w:cs="宋体"/>
                <w:color w:val="auto"/>
                <w:kern w:val="0"/>
                <w:sz w:val="21"/>
                <w:szCs w:val="21"/>
                <w:highlight w:val="none"/>
                <w:u w:val="single"/>
                <w:lang w:val="en-GB" w:eastAsia="zh-CN" w:bidi="ar-SA"/>
              </w:rPr>
              <w:t xml:space="preserve">  </w:t>
            </w:r>
            <w:r>
              <w:rPr>
                <w:rFonts w:hint="eastAsia" w:ascii="宋体" w:hAnsi="宋体" w:eastAsia="楷体_GB2312" w:cs="宋体"/>
                <w:color w:val="auto"/>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lang w:val="en-GB" w:eastAsia="zh-CN" w:bidi="ar-SA"/>
              </w:rPr>
              <w:t xml:space="preserve"> </w:t>
            </w:r>
            <w:r>
              <w:rPr>
                <w:rFonts w:hint="eastAsia" w:ascii="宋体" w:hAnsi="宋体" w:eastAsia="宋体" w:cs="宋体"/>
                <w:color w:val="auto"/>
                <w:kern w:val="0"/>
                <w:sz w:val="21"/>
                <w:szCs w:val="21"/>
                <w:highlight w:val="none"/>
                <w:lang w:val="en-US" w:eastAsia="zh-CN" w:bidi="ar-SA"/>
              </w:rPr>
              <w:t xml:space="preserve"> </w:t>
            </w:r>
          </w:p>
        </w:tc>
        <w:tc>
          <w:tcPr>
            <w:tcW w:w="2500" w:type="pct"/>
            <w:noWrap w:val="0"/>
            <w:vAlign w:val="top"/>
          </w:tcPr>
          <w:p w14:paraId="0FEF9FEA">
            <w:pPr>
              <w:widowControl w:val="0"/>
              <w:shd w:val="clear"/>
              <w:spacing w:after="0" w:line="360" w:lineRule="auto"/>
              <w:ind w:left="300" w:firstLine="420"/>
              <w:jc w:val="both"/>
              <w:rPr>
                <w:rFonts w:ascii="宋体" w:hAnsi="宋体" w:eastAsia="宋体" w:cs="宋体"/>
                <w:color w:val="auto"/>
                <w:kern w:val="0"/>
                <w:sz w:val="21"/>
                <w:szCs w:val="21"/>
                <w:highlight w:val="none"/>
                <w:lang w:val="en-GB" w:eastAsia="zh-CN" w:bidi="ar-SA"/>
              </w:rPr>
            </w:pPr>
          </w:p>
        </w:tc>
      </w:tr>
      <w:tr w14:paraId="05B6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2499" w:type="pct"/>
            <w:noWrap w:val="0"/>
            <w:vAlign w:val="top"/>
          </w:tcPr>
          <w:p w14:paraId="443C9C78">
            <w:pPr>
              <w:widowControl w:val="0"/>
              <w:shd w:val="clear"/>
              <w:spacing w:after="0" w:line="360" w:lineRule="auto"/>
              <w:ind w:left="0" w:firstLine="0"/>
              <w:jc w:val="both"/>
              <w:rPr>
                <w:rFonts w:ascii="宋体" w:hAnsi="宋体" w:eastAsia="宋体" w:cs="宋体"/>
                <w:color w:val="auto"/>
                <w:kern w:val="0"/>
                <w:sz w:val="21"/>
                <w:szCs w:val="21"/>
                <w:highlight w:val="none"/>
                <w:lang w:val="en-GB" w:eastAsia="zh-CN" w:bidi="ar-SA"/>
              </w:rPr>
            </w:pPr>
            <w:r>
              <w:rPr>
                <w:rFonts w:hint="eastAsia" w:ascii="宋体" w:hAnsi="宋体" w:eastAsia="宋体" w:cs="宋体"/>
                <w:color w:val="auto"/>
                <w:spacing w:val="-2"/>
                <w:kern w:val="0"/>
                <w:sz w:val="21"/>
                <w:szCs w:val="21"/>
                <w:highlight w:val="none"/>
                <w:lang w:val="en-US" w:eastAsia="zh-CN" w:bidi="ar-SA"/>
              </w:rPr>
              <w:t>项目经办人</w:t>
            </w:r>
            <w:r>
              <w:rPr>
                <w:rFonts w:hint="eastAsia" w:ascii="宋体" w:hAnsi="宋体" w:eastAsia="宋体" w:cs="宋体"/>
                <w:color w:val="auto"/>
                <w:spacing w:val="-2"/>
                <w:kern w:val="0"/>
                <w:sz w:val="21"/>
                <w:szCs w:val="21"/>
                <w:highlight w:val="none"/>
                <w:lang w:val="en-GB" w:eastAsia="zh-CN" w:bidi="ar-SA"/>
              </w:rPr>
              <w:t>：</w:t>
            </w:r>
            <w:r>
              <w:rPr>
                <w:rFonts w:hint="eastAsia" w:ascii="宋体" w:hAnsi="宋体" w:eastAsia="宋体" w:cs="宋体"/>
                <w:color w:val="auto"/>
                <w:spacing w:val="-2"/>
                <w:kern w:val="0"/>
                <w:sz w:val="21"/>
                <w:szCs w:val="21"/>
                <w:highlight w:val="none"/>
                <w:lang w:val="en-US" w:eastAsia="zh-CN" w:bidi="ar-SA"/>
              </w:rPr>
              <w:t xml:space="preserve"> </w:t>
            </w:r>
            <w:r>
              <w:rPr>
                <w:rFonts w:hint="eastAsia" w:ascii="宋体" w:hAnsi="宋体" w:eastAsia="宋体" w:cs="宋体"/>
                <w:color w:val="auto"/>
                <w:spacing w:val="-1"/>
                <w:kern w:val="0"/>
                <w:sz w:val="21"/>
                <w:szCs w:val="21"/>
                <w:highlight w:val="none"/>
                <w:u w:val="single"/>
                <w:lang w:val="en-US" w:eastAsia="zh-CN" w:bidi="ar-SA"/>
              </w:rPr>
              <w:t xml:space="preserve">     </w:t>
            </w:r>
            <w:r>
              <w:rPr>
                <w:rFonts w:hint="eastAsia" w:ascii="宋体" w:hAnsi="宋体" w:eastAsia="宋体" w:cs="宋体"/>
                <w:color w:val="auto"/>
                <w:kern w:val="0"/>
                <w:sz w:val="21"/>
                <w:szCs w:val="21"/>
                <w:highlight w:val="none"/>
                <w:u w:val="single"/>
                <w:lang w:val="en-GB" w:eastAsia="zh-CN" w:bidi="ar-SA"/>
              </w:rPr>
              <w:t xml:space="preserve"> </w:t>
            </w:r>
            <w:r>
              <w:rPr>
                <w:rFonts w:hint="eastAsia" w:ascii="宋体" w:hAnsi="宋体" w:eastAsia="宋体" w:cs="宋体"/>
                <w:color w:val="auto"/>
                <w:spacing w:val="-2"/>
                <w:kern w:val="0"/>
                <w:sz w:val="21"/>
                <w:szCs w:val="21"/>
                <w:highlight w:val="none"/>
                <w:lang w:val="en-US" w:eastAsia="zh-CN" w:bidi="ar-SA"/>
              </w:rPr>
              <w:t xml:space="preserve"> </w:t>
            </w:r>
          </w:p>
        </w:tc>
        <w:tc>
          <w:tcPr>
            <w:tcW w:w="2500" w:type="pct"/>
            <w:noWrap w:val="0"/>
            <w:vAlign w:val="top"/>
          </w:tcPr>
          <w:p w14:paraId="4629BB8C">
            <w:pPr>
              <w:widowControl w:val="0"/>
              <w:shd w:val="clear"/>
              <w:spacing w:after="0" w:line="360" w:lineRule="auto"/>
              <w:ind w:left="300" w:firstLine="420"/>
              <w:jc w:val="both"/>
              <w:rPr>
                <w:rFonts w:ascii="宋体" w:hAnsi="宋体" w:eastAsia="宋体" w:cs="宋体"/>
                <w:color w:val="auto"/>
                <w:kern w:val="0"/>
                <w:sz w:val="21"/>
                <w:szCs w:val="21"/>
                <w:highlight w:val="none"/>
                <w:lang w:val="en-GB" w:eastAsia="zh-CN" w:bidi="ar-SA"/>
              </w:rPr>
            </w:pPr>
          </w:p>
        </w:tc>
      </w:tr>
      <w:tr w14:paraId="2435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2499" w:type="pct"/>
            <w:noWrap w:val="0"/>
            <w:vAlign w:val="top"/>
          </w:tcPr>
          <w:p w14:paraId="152B9976">
            <w:pPr>
              <w:widowControl w:val="0"/>
              <w:shd w:val="clear"/>
              <w:spacing w:after="0" w:line="360" w:lineRule="auto"/>
              <w:ind w:left="300" w:firstLine="420"/>
              <w:jc w:val="both"/>
              <w:rPr>
                <w:rFonts w:ascii="宋体" w:hAnsi="宋体" w:eastAsia="宋体" w:cs="宋体"/>
                <w:color w:val="auto"/>
                <w:spacing w:val="-2"/>
                <w:kern w:val="0"/>
                <w:sz w:val="21"/>
                <w:szCs w:val="21"/>
                <w:highlight w:val="none"/>
                <w:lang w:val="en-GB" w:eastAsia="zh-CN" w:bidi="ar-SA"/>
              </w:rPr>
            </w:pPr>
          </w:p>
        </w:tc>
        <w:tc>
          <w:tcPr>
            <w:tcW w:w="2500" w:type="pct"/>
            <w:noWrap w:val="0"/>
            <w:vAlign w:val="top"/>
          </w:tcPr>
          <w:p w14:paraId="55981577">
            <w:pPr>
              <w:widowControl w:val="0"/>
              <w:shd w:val="clear"/>
              <w:spacing w:after="0" w:line="360" w:lineRule="auto"/>
              <w:ind w:left="300" w:firstLine="420"/>
              <w:jc w:val="right"/>
              <w:rPr>
                <w:rFonts w:ascii="宋体" w:hAnsi="宋体" w:eastAsia="宋体" w:cs="宋体"/>
                <w:color w:val="auto"/>
                <w:kern w:val="0"/>
                <w:sz w:val="21"/>
                <w:szCs w:val="21"/>
                <w:highlight w:val="none"/>
                <w:lang w:val="en-GB" w:eastAsia="zh-CN" w:bidi="ar-SA"/>
              </w:rPr>
            </w:pPr>
            <w:r>
              <w:rPr>
                <w:rFonts w:hint="eastAsia" w:ascii="宋体" w:hAnsi="宋体" w:eastAsia="宋体" w:cs="宋体"/>
                <w:color w:val="auto"/>
                <w:kern w:val="0"/>
                <w:sz w:val="21"/>
                <w:szCs w:val="21"/>
                <w:highlight w:val="none"/>
                <w:lang w:val="en-GB" w:eastAsia="zh-CN" w:bidi="ar-SA"/>
              </w:rPr>
              <w:t xml:space="preserve"> 年    月    日</w:t>
            </w:r>
          </w:p>
        </w:tc>
      </w:tr>
    </w:tbl>
    <w:p w14:paraId="7900325B">
      <w:pPr>
        <w:shd w:val="clear"/>
        <w:rPr>
          <w:rFonts w:hint="eastAsia" w:ascii="宋体" w:hAnsi="宋体" w:eastAsia="宋体" w:cs="宋体"/>
          <w:color w:val="auto"/>
          <w:sz w:val="21"/>
          <w:szCs w:val="21"/>
          <w:highlight w:val="none"/>
        </w:rPr>
      </w:pPr>
    </w:p>
    <w:p w14:paraId="1C55E759">
      <w:pPr>
        <w:shd w:val="clea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9C73436">
      <w:pPr>
        <w:pStyle w:val="47"/>
        <w:keepNext w:val="0"/>
        <w:keepLines w:val="0"/>
        <w:pageBreakBefore w:val="0"/>
        <w:widowControl w:val="0"/>
        <w:shd w:val="clea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附件</w:t>
      </w:r>
      <w:r>
        <w:rPr>
          <w:rFonts w:hint="eastAsia" w:ascii="宋体" w:hAnsi="宋体" w:cs="宋体"/>
          <w:b/>
          <w:bCs/>
          <w:color w:val="auto"/>
          <w:kern w:val="0"/>
          <w:sz w:val="21"/>
          <w:szCs w:val="21"/>
          <w:highlight w:val="none"/>
          <w:lang w:val="en-US" w:eastAsia="zh-CN" w:bidi="ar-SA"/>
        </w:rPr>
        <w:t>1</w:t>
      </w:r>
      <w:r>
        <w:rPr>
          <w:rFonts w:hint="eastAsia" w:ascii="宋体" w:hAnsi="宋体" w:eastAsia="宋体" w:cs="宋体"/>
          <w:b/>
          <w:bCs/>
          <w:color w:val="auto"/>
          <w:kern w:val="0"/>
          <w:sz w:val="21"/>
          <w:szCs w:val="21"/>
          <w:highlight w:val="none"/>
          <w:lang w:val="en-US" w:eastAsia="zh-CN" w:bidi="ar-SA"/>
        </w:rPr>
        <w:t>：项目营销人员配置</w:t>
      </w:r>
      <w:r>
        <w:rPr>
          <w:rFonts w:hint="eastAsia" w:ascii="宋体" w:hAnsi="宋体" w:cs="宋体"/>
          <w:b/>
          <w:bCs/>
          <w:color w:val="auto"/>
          <w:kern w:val="0"/>
          <w:sz w:val="21"/>
          <w:szCs w:val="21"/>
          <w:highlight w:val="none"/>
          <w:lang w:val="en-US" w:eastAsia="zh-CN" w:bidi="ar-SA"/>
        </w:rPr>
        <w:t>及月基本服务费用明细</w:t>
      </w:r>
      <w:r>
        <w:rPr>
          <w:rFonts w:hint="eastAsia" w:ascii="宋体" w:hAnsi="宋体" w:eastAsia="宋体" w:cs="宋体"/>
          <w:b/>
          <w:bCs/>
          <w:color w:val="auto"/>
          <w:kern w:val="0"/>
          <w:sz w:val="21"/>
          <w:szCs w:val="21"/>
          <w:highlight w:val="none"/>
          <w:lang w:val="en-US" w:eastAsia="zh-CN" w:bidi="ar-SA"/>
        </w:rPr>
        <w:t>表</w:t>
      </w:r>
    </w:p>
    <w:p w14:paraId="3D29EB17">
      <w:pPr>
        <w:pStyle w:val="49"/>
        <w:shd w:val="clear"/>
        <w:rPr>
          <w:rFonts w:hint="eastAsia"/>
          <w:color w:val="auto"/>
          <w:highlight w:val="none"/>
        </w:rPr>
      </w:pPr>
    </w:p>
    <w:tbl>
      <w:tblPr>
        <w:tblStyle w:val="34"/>
        <w:tblW w:w="5000" w:type="pct"/>
        <w:tblInd w:w="0" w:type="dxa"/>
        <w:tblLayout w:type="fixed"/>
        <w:tblCellMar>
          <w:top w:w="0" w:type="dxa"/>
          <w:left w:w="0" w:type="dxa"/>
          <w:bottom w:w="0" w:type="dxa"/>
          <w:right w:w="0" w:type="dxa"/>
        </w:tblCellMar>
      </w:tblPr>
      <w:tblGrid>
        <w:gridCol w:w="836"/>
        <w:gridCol w:w="2479"/>
        <w:gridCol w:w="1155"/>
        <w:gridCol w:w="2103"/>
        <w:gridCol w:w="1303"/>
        <w:gridCol w:w="1668"/>
      </w:tblGrid>
      <w:tr w14:paraId="4301B130">
        <w:tblPrEx>
          <w:tblCellMar>
            <w:top w:w="0" w:type="dxa"/>
            <w:left w:w="0" w:type="dxa"/>
            <w:bottom w:w="0" w:type="dxa"/>
            <w:right w:w="0" w:type="dxa"/>
          </w:tblCellMar>
        </w:tblPrEx>
        <w:trPr>
          <w:trHeight w:val="936" w:hRule="atLeast"/>
        </w:trPr>
        <w:tc>
          <w:tcPr>
            <w:tcW w:w="500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315C63">
            <w:pPr>
              <w:shd w:val="clear"/>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项目营销人员配置</w:t>
            </w:r>
            <w:r>
              <w:rPr>
                <w:rFonts w:hint="eastAsia" w:ascii="宋体" w:hAnsi="宋体" w:cs="宋体"/>
                <w:b/>
                <w:bCs/>
                <w:color w:val="auto"/>
                <w:kern w:val="0"/>
                <w:sz w:val="21"/>
                <w:szCs w:val="21"/>
                <w:highlight w:val="none"/>
                <w:lang w:val="en-US" w:eastAsia="zh-CN" w:bidi="ar-SA"/>
              </w:rPr>
              <w:t>及月基本服务费用明细</w:t>
            </w:r>
            <w:r>
              <w:rPr>
                <w:rFonts w:hint="eastAsia" w:ascii="宋体" w:hAnsi="宋体" w:eastAsia="宋体" w:cs="宋体"/>
                <w:b/>
                <w:bCs/>
                <w:color w:val="auto"/>
                <w:kern w:val="0"/>
                <w:sz w:val="21"/>
                <w:szCs w:val="21"/>
                <w:highlight w:val="none"/>
                <w:lang w:val="en-US" w:eastAsia="zh-CN" w:bidi="ar-SA"/>
              </w:rPr>
              <w:t>表</w:t>
            </w:r>
          </w:p>
        </w:tc>
      </w:tr>
      <w:tr w14:paraId="13C79552">
        <w:tblPrEx>
          <w:tblCellMar>
            <w:top w:w="0" w:type="dxa"/>
            <w:left w:w="0" w:type="dxa"/>
            <w:bottom w:w="0" w:type="dxa"/>
            <w:right w:w="0" w:type="dxa"/>
          </w:tblCellMar>
        </w:tblPrEx>
        <w:trPr>
          <w:trHeight w:val="936" w:hRule="atLeast"/>
        </w:trPr>
        <w:tc>
          <w:tcPr>
            <w:tcW w:w="437" w:type="pct"/>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4F23BA6A">
            <w:pPr>
              <w:shd w:val="clea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序号</w:t>
            </w:r>
          </w:p>
        </w:tc>
        <w:tc>
          <w:tcPr>
            <w:tcW w:w="1298"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5FBE5703">
            <w:pPr>
              <w:shd w:val="clear"/>
              <w:spacing w:line="24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60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5A05A744">
            <w:pPr>
              <w:shd w:val="clear"/>
              <w:spacing w:line="24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人数</w:t>
            </w:r>
          </w:p>
        </w:tc>
        <w:tc>
          <w:tcPr>
            <w:tcW w:w="1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2C83D0">
            <w:pPr>
              <w:shd w:val="clea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固定全费用综合单价（元）</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EAD7">
            <w:pPr>
              <w:shd w:val="clea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小计</w:t>
            </w:r>
          </w:p>
          <w:p w14:paraId="0AE530C3">
            <w:pPr>
              <w:shd w:val="clear"/>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（元）</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54906">
            <w:pPr>
              <w:shd w:val="clea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7112FD9F">
        <w:tblPrEx>
          <w:tblCellMar>
            <w:top w:w="0" w:type="dxa"/>
            <w:left w:w="0" w:type="dxa"/>
            <w:bottom w:w="0" w:type="dxa"/>
            <w:right w:w="0" w:type="dxa"/>
          </w:tblCellMar>
        </w:tblPrEx>
        <w:trPr>
          <w:trHeight w:val="936" w:hRule="atLeast"/>
        </w:trPr>
        <w:tc>
          <w:tcPr>
            <w:tcW w:w="43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C2279F">
            <w:pPr>
              <w:shd w:val="clea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2E5205">
            <w:pPr>
              <w:shd w:val="clea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经理</w:t>
            </w:r>
          </w:p>
        </w:tc>
        <w:tc>
          <w:tcPr>
            <w:tcW w:w="60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3380A40">
            <w:pPr>
              <w:shd w:val="clea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2A8B78F">
            <w:pPr>
              <w:shd w:val="clear"/>
              <w:spacing w:line="360" w:lineRule="auto"/>
              <w:jc w:val="center"/>
              <w:rPr>
                <w:rFonts w:hint="default" w:ascii="宋体" w:hAnsi="宋体" w:eastAsia="宋体" w:cs="宋体"/>
                <w:color w:val="auto"/>
                <w:sz w:val="21"/>
                <w:szCs w:val="21"/>
                <w:highlight w:val="none"/>
                <w:lang w:val="en-US" w:eastAsia="zh-CN"/>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3507E">
            <w:pPr>
              <w:shd w:val="clear"/>
              <w:spacing w:line="360" w:lineRule="auto"/>
              <w:jc w:val="center"/>
              <w:rPr>
                <w:rFonts w:hint="eastAsia" w:ascii="宋体" w:hAnsi="宋体" w:eastAsia="宋体" w:cs="宋体"/>
                <w:color w:val="auto"/>
                <w:kern w:val="2"/>
                <w:sz w:val="21"/>
                <w:szCs w:val="21"/>
                <w:highlight w:val="none"/>
                <w:lang w:val="en-US" w:eastAsia="zh-CN" w:bidi="ar-SA"/>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67383">
            <w:pPr>
              <w:shd w:val="clea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w:t>
            </w:r>
          </w:p>
        </w:tc>
      </w:tr>
      <w:tr w14:paraId="1EE36840">
        <w:tblPrEx>
          <w:tblCellMar>
            <w:top w:w="0" w:type="dxa"/>
            <w:left w:w="0" w:type="dxa"/>
            <w:bottom w:w="0" w:type="dxa"/>
            <w:right w:w="0" w:type="dxa"/>
          </w:tblCellMar>
        </w:tblPrEx>
        <w:trPr>
          <w:trHeight w:val="936" w:hRule="atLeast"/>
        </w:trPr>
        <w:tc>
          <w:tcPr>
            <w:tcW w:w="43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6A7CC7">
            <w:pPr>
              <w:shd w:val="clea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54D0BB">
            <w:pPr>
              <w:shd w:val="clea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销售经理</w:t>
            </w:r>
          </w:p>
        </w:tc>
        <w:tc>
          <w:tcPr>
            <w:tcW w:w="60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3A1AA21">
            <w:pPr>
              <w:shd w:val="clea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66CDA">
            <w:pPr>
              <w:shd w:val="clear"/>
              <w:spacing w:line="360" w:lineRule="auto"/>
              <w:rPr>
                <w:rFonts w:ascii="宋体" w:hAnsi="宋体" w:eastAsia="宋体" w:cs="宋体"/>
                <w:color w:val="auto"/>
                <w:sz w:val="21"/>
                <w:szCs w:val="21"/>
                <w:highlight w:val="none"/>
              </w:rPr>
            </w:pP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7E6A579">
            <w:pPr>
              <w:shd w:val="clear"/>
              <w:spacing w:line="360" w:lineRule="auto"/>
              <w:rPr>
                <w:rFonts w:ascii="宋体" w:hAnsi="宋体" w:eastAsia="宋体" w:cs="宋体"/>
                <w:color w:val="auto"/>
                <w:sz w:val="21"/>
                <w:szCs w:val="21"/>
                <w:highlight w:val="none"/>
              </w:rPr>
            </w:pPr>
          </w:p>
        </w:tc>
        <w:tc>
          <w:tcPr>
            <w:tcW w:w="8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C907C9D">
            <w:pPr>
              <w:shd w:val="clear"/>
              <w:spacing w:line="360" w:lineRule="auto"/>
              <w:rPr>
                <w:rFonts w:ascii="宋体" w:hAnsi="宋体" w:eastAsia="宋体" w:cs="宋体"/>
                <w:color w:val="auto"/>
                <w:sz w:val="21"/>
                <w:szCs w:val="21"/>
                <w:highlight w:val="none"/>
              </w:rPr>
            </w:pPr>
          </w:p>
        </w:tc>
      </w:tr>
      <w:tr w14:paraId="1A4B750B">
        <w:tblPrEx>
          <w:tblCellMar>
            <w:top w:w="0" w:type="dxa"/>
            <w:left w:w="0" w:type="dxa"/>
            <w:bottom w:w="0" w:type="dxa"/>
            <w:right w:w="0" w:type="dxa"/>
          </w:tblCellMar>
        </w:tblPrEx>
        <w:trPr>
          <w:trHeight w:val="936" w:hRule="atLeast"/>
        </w:trPr>
        <w:tc>
          <w:tcPr>
            <w:tcW w:w="43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2EF677">
            <w:pPr>
              <w:shd w:val="clea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BA5982">
            <w:pPr>
              <w:widowControl/>
              <w:shd w:val="clear"/>
              <w:spacing w:line="360" w:lineRule="auto"/>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销售人员</w:t>
            </w:r>
          </w:p>
        </w:tc>
        <w:tc>
          <w:tcPr>
            <w:tcW w:w="60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F537ECD">
            <w:pPr>
              <w:widowControl/>
              <w:shd w:val="clear"/>
              <w:spacing w:line="360" w:lineRule="auto"/>
              <w:jc w:val="center"/>
              <w:textAlignment w:val="bottom"/>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BA56E0">
            <w:pPr>
              <w:shd w:val="clear"/>
              <w:spacing w:line="360" w:lineRule="auto"/>
              <w:jc w:val="center"/>
              <w:rPr>
                <w:rFonts w:ascii="宋体" w:hAnsi="宋体" w:eastAsia="宋体" w:cs="宋体"/>
                <w:color w:val="auto"/>
                <w:sz w:val="21"/>
                <w:szCs w:val="21"/>
                <w:highlight w:val="none"/>
              </w:rPr>
            </w:pP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645469">
            <w:pPr>
              <w:shd w:val="clear"/>
              <w:spacing w:line="360" w:lineRule="auto"/>
              <w:jc w:val="center"/>
              <w:rPr>
                <w:rFonts w:ascii="宋体" w:hAnsi="宋体" w:eastAsia="宋体" w:cs="宋体"/>
                <w:color w:val="auto"/>
                <w:sz w:val="21"/>
                <w:szCs w:val="21"/>
                <w:highlight w:val="none"/>
              </w:rPr>
            </w:pPr>
          </w:p>
        </w:tc>
        <w:tc>
          <w:tcPr>
            <w:tcW w:w="8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567523">
            <w:pPr>
              <w:shd w:val="clear"/>
              <w:spacing w:line="360" w:lineRule="auto"/>
              <w:jc w:val="center"/>
              <w:rPr>
                <w:rFonts w:ascii="宋体" w:hAnsi="宋体" w:eastAsia="宋体" w:cs="宋体"/>
                <w:color w:val="auto"/>
                <w:sz w:val="21"/>
                <w:szCs w:val="21"/>
                <w:highlight w:val="none"/>
              </w:rPr>
            </w:pPr>
          </w:p>
        </w:tc>
      </w:tr>
      <w:tr w14:paraId="38F218F8">
        <w:tblPrEx>
          <w:tblCellMar>
            <w:top w:w="0" w:type="dxa"/>
            <w:left w:w="0" w:type="dxa"/>
            <w:bottom w:w="0" w:type="dxa"/>
            <w:right w:w="0" w:type="dxa"/>
          </w:tblCellMar>
        </w:tblPrEx>
        <w:trPr>
          <w:trHeight w:val="936" w:hRule="atLeast"/>
        </w:trPr>
        <w:tc>
          <w:tcPr>
            <w:tcW w:w="437" w:type="pct"/>
            <w:tcBorders>
              <w:top w:val="single" w:color="auto" w:sz="4" w:space="0"/>
              <w:left w:val="single" w:color="000000" w:sz="4" w:space="0"/>
              <w:right w:val="single" w:color="auto" w:sz="4" w:space="0"/>
            </w:tcBorders>
            <w:noWrap w:val="0"/>
            <w:tcMar>
              <w:top w:w="15" w:type="dxa"/>
              <w:left w:w="15" w:type="dxa"/>
              <w:right w:w="15" w:type="dxa"/>
            </w:tcMar>
            <w:vAlign w:val="center"/>
          </w:tcPr>
          <w:p w14:paraId="473F59C1">
            <w:pPr>
              <w:shd w:val="clea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275E9D">
            <w:pPr>
              <w:shd w:val="clea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销控主管</w:t>
            </w:r>
          </w:p>
        </w:tc>
        <w:tc>
          <w:tcPr>
            <w:tcW w:w="60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64EB3A46">
            <w:pPr>
              <w:shd w:val="clea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400A8A">
            <w:pPr>
              <w:shd w:val="clear"/>
              <w:spacing w:line="360" w:lineRule="auto"/>
              <w:jc w:val="center"/>
              <w:rPr>
                <w:rFonts w:ascii="宋体" w:hAnsi="宋体" w:eastAsia="宋体" w:cs="宋体"/>
                <w:color w:val="auto"/>
                <w:sz w:val="21"/>
                <w:szCs w:val="21"/>
                <w:highlight w:val="none"/>
              </w:rPr>
            </w:pP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C208C3">
            <w:pPr>
              <w:shd w:val="clear"/>
              <w:spacing w:line="360" w:lineRule="auto"/>
              <w:jc w:val="center"/>
              <w:rPr>
                <w:rFonts w:ascii="宋体" w:hAnsi="宋体" w:eastAsia="宋体" w:cs="宋体"/>
                <w:color w:val="auto"/>
                <w:sz w:val="21"/>
                <w:szCs w:val="21"/>
                <w:highlight w:val="none"/>
              </w:rPr>
            </w:pPr>
          </w:p>
        </w:tc>
        <w:tc>
          <w:tcPr>
            <w:tcW w:w="8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E2A81D">
            <w:pPr>
              <w:shd w:val="clear"/>
              <w:spacing w:line="360" w:lineRule="auto"/>
              <w:jc w:val="center"/>
              <w:rPr>
                <w:rFonts w:ascii="宋体" w:hAnsi="宋体" w:eastAsia="宋体" w:cs="宋体"/>
                <w:color w:val="auto"/>
                <w:sz w:val="21"/>
                <w:szCs w:val="21"/>
                <w:highlight w:val="none"/>
              </w:rPr>
            </w:pPr>
          </w:p>
        </w:tc>
      </w:tr>
      <w:tr w14:paraId="1B359877">
        <w:tblPrEx>
          <w:tblCellMar>
            <w:top w:w="0" w:type="dxa"/>
            <w:left w:w="0" w:type="dxa"/>
            <w:bottom w:w="0" w:type="dxa"/>
            <w:right w:w="0" w:type="dxa"/>
          </w:tblCellMar>
        </w:tblPrEx>
        <w:trPr>
          <w:trHeight w:val="936" w:hRule="atLeast"/>
        </w:trPr>
        <w:tc>
          <w:tcPr>
            <w:tcW w:w="4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6D973A">
            <w:pPr>
              <w:shd w:val="clea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5</w:t>
            </w:r>
          </w:p>
        </w:tc>
        <w:tc>
          <w:tcPr>
            <w:tcW w:w="1298" w:type="pc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6AF80A98">
            <w:pPr>
              <w:shd w:val="clea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合计</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含税）</w:t>
            </w:r>
          </w:p>
        </w:tc>
        <w:tc>
          <w:tcPr>
            <w:tcW w:w="6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6A5A56">
            <w:pPr>
              <w:shd w:val="clea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10</w:t>
            </w:r>
          </w:p>
        </w:tc>
        <w:tc>
          <w:tcPr>
            <w:tcW w:w="1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1F36A5">
            <w:pPr>
              <w:shd w:val="clear"/>
              <w:spacing w:line="360" w:lineRule="auto"/>
              <w:jc w:val="center"/>
              <w:rPr>
                <w:rFonts w:ascii="宋体" w:hAnsi="宋体" w:eastAsia="宋体" w:cs="宋体"/>
                <w:b/>
                <w:bCs/>
                <w:color w:val="auto"/>
                <w:sz w:val="21"/>
                <w:szCs w:val="21"/>
                <w:highlight w:val="none"/>
              </w:rPr>
            </w:pP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2CF0D5">
            <w:pPr>
              <w:shd w:val="clear"/>
              <w:spacing w:line="360" w:lineRule="auto"/>
              <w:jc w:val="center"/>
              <w:rPr>
                <w:rFonts w:ascii="宋体" w:hAnsi="宋体" w:eastAsia="宋体" w:cs="宋体"/>
                <w:b/>
                <w:bCs/>
                <w:color w:val="auto"/>
                <w:sz w:val="21"/>
                <w:szCs w:val="21"/>
                <w:highlight w:val="none"/>
              </w:rPr>
            </w:pPr>
          </w:p>
        </w:tc>
        <w:tc>
          <w:tcPr>
            <w:tcW w:w="8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39E0F9">
            <w:pPr>
              <w:shd w:val="clear"/>
              <w:spacing w:line="360" w:lineRule="auto"/>
              <w:jc w:val="center"/>
              <w:rPr>
                <w:rFonts w:ascii="宋体" w:hAnsi="宋体" w:eastAsia="宋体" w:cs="宋体"/>
                <w:b/>
                <w:bCs/>
                <w:color w:val="auto"/>
                <w:sz w:val="21"/>
                <w:szCs w:val="21"/>
                <w:highlight w:val="none"/>
              </w:rPr>
            </w:pPr>
          </w:p>
        </w:tc>
      </w:tr>
      <w:tr w14:paraId="2719984D">
        <w:tblPrEx>
          <w:tblCellMar>
            <w:top w:w="0" w:type="dxa"/>
            <w:left w:w="0" w:type="dxa"/>
            <w:bottom w:w="0" w:type="dxa"/>
            <w:right w:w="0" w:type="dxa"/>
          </w:tblCellMar>
        </w:tblPrEx>
        <w:trPr>
          <w:trHeight w:val="936" w:hRule="atLeast"/>
        </w:trPr>
        <w:tc>
          <w:tcPr>
            <w:tcW w:w="500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0C140A">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12137774">
            <w:pPr>
              <w:keepNext w:val="0"/>
              <w:keepLines w:val="0"/>
              <w:pageBreakBefore w:val="0"/>
              <w:widowControl w:val="0"/>
              <w:numPr>
                <w:ilvl w:val="0"/>
                <w:numId w:val="23"/>
              </w:numPr>
              <w:shd w:val="clear"/>
              <w:kinsoku/>
              <w:wordWrap/>
              <w:overflowPunct/>
              <w:topLinePunct w:val="0"/>
              <w:autoSpaceDE/>
              <w:autoSpaceDN/>
              <w:bidi w:val="0"/>
              <w:adjustRightInd/>
              <w:snapToGrid/>
              <w:spacing w:line="360" w:lineRule="auto"/>
              <w:ind w:left="0" w:leftChars="0" w:firstLine="454"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以上为项目营销人员配置要求，投标单位根据首次开盘前、首次开盘、持销期、尾盘等不同阶段进行调整，各阶段人员配置方案须征得甲方同意</w:t>
            </w:r>
            <w:r>
              <w:rPr>
                <w:rFonts w:hint="eastAsia" w:ascii="宋体" w:hAnsi="宋体" w:eastAsia="宋体" w:cs="宋体"/>
                <w:color w:val="auto"/>
                <w:sz w:val="21"/>
                <w:szCs w:val="21"/>
                <w:highlight w:val="none"/>
              </w:rPr>
              <w:t>。</w:t>
            </w:r>
          </w:p>
          <w:p w14:paraId="2A8353A8">
            <w:pPr>
              <w:keepNext w:val="0"/>
              <w:keepLines w:val="0"/>
              <w:pageBreakBefore w:val="0"/>
              <w:widowControl w:val="0"/>
              <w:numPr>
                <w:ilvl w:val="0"/>
                <w:numId w:val="23"/>
              </w:numPr>
              <w:shd w:val="clear"/>
              <w:kinsoku/>
              <w:wordWrap/>
              <w:overflowPunct/>
              <w:topLinePunct w:val="0"/>
              <w:autoSpaceDE/>
              <w:autoSpaceDN/>
              <w:bidi w:val="0"/>
              <w:adjustRightInd/>
              <w:snapToGrid/>
              <w:spacing w:line="360" w:lineRule="auto"/>
              <w:ind w:left="0" w:leftChars="0" w:firstLine="454" w:firstLineChars="0"/>
              <w:jc w:val="left"/>
              <w:textAlignment w:val="auto"/>
              <w:rPr>
                <w:rFonts w:ascii="宋体" w:hAnsi="宋体" w:eastAsia="宋体" w:cs="宋体"/>
                <w:b/>
                <w:bCs/>
                <w:color w:val="auto"/>
                <w:sz w:val="21"/>
                <w:szCs w:val="21"/>
                <w:highlight w:val="none"/>
              </w:rPr>
            </w:pPr>
            <w:r>
              <w:rPr>
                <w:rFonts w:hint="eastAsia" w:ascii="宋体" w:hAnsi="宋体" w:eastAsia="宋体" w:cs="宋体"/>
                <w:color w:val="auto"/>
                <w:spacing w:val="2"/>
                <w:sz w:val="21"/>
                <w:szCs w:val="21"/>
                <w:highlight w:val="none"/>
                <w:lang w:val="en-US" w:eastAsia="zh-CN"/>
              </w:rPr>
              <w:t>基本服务费用包含人员基本费（即项目</w:t>
            </w:r>
            <w:r>
              <w:rPr>
                <w:rFonts w:hint="eastAsia" w:ascii="宋体" w:hAnsi="宋体" w:eastAsia="宋体" w:cs="宋体"/>
                <w:color w:val="auto"/>
                <w:spacing w:val="2"/>
                <w:sz w:val="21"/>
                <w:szCs w:val="21"/>
                <w:highlight w:val="none"/>
              </w:rPr>
              <w:t>营销人员及</w:t>
            </w:r>
            <w:r>
              <w:rPr>
                <w:rFonts w:hint="eastAsia" w:ascii="宋体" w:hAnsi="宋体" w:eastAsia="宋体" w:cs="宋体"/>
                <w:color w:val="auto"/>
                <w:spacing w:val="2"/>
                <w:sz w:val="21"/>
                <w:szCs w:val="21"/>
                <w:highlight w:val="none"/>
                <w:lang w:val="en-US" w:eastAsia="zh-CN"/>
              </w:rPr>
              <w:t>乙方</w:t>
            </w:r>
            <w:r>
              <w:rPr>
                <w:rFonts w:hint="eastAsia" w:ascii="宋体" w:hAnsi="宋体" w:eastAsia="宋体" w:cs="宋体"/>
                <w:color w:val="auto"/>
                <w:spacing w:val="2"/>
                <w:sz w:val="21"/>
                <w:szCs w:val="21"/>
                <w:highlight w:val="none"/>
              </w:rPr>
              <w:t>后台人员</w:t>
            </w:r>
            <w:r>
              <w:rPr>
                <w:rFonts w:hint="eastAsia" w:ascii="宋体" w:hAnsi="宋体" w:cs="宋体"/>
                <w:color w:val="auto"/>
                <w:spacing w:val="2"/>
                <w:sz w:val="21"/>
                <w:szCs w:val="21"/>
                <w:highlight w:val="none"/>
                <w:lang w:eastAsia="zh-CN"/>
              </w:rPr>
              <w:t>基础薪酬、各项福利补贴、年终奖、社保费、公积金、员工培训费、通讯费、差旅费、服装费等</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w:t>
            </w:r>
            <w:r>
              <w:rPr>
                <w:rFonts w:hint="eastAsia" w:ascii="宋体" w:hAnsi="宋体" w:eastAsia="宋体" w:cs="宋体"/>
                <w:color w:val="auto"/>
                <w:spacing w:val="2"/>
                <w:sz w:val="21"/>
                <w:szCs w:val="21"/>
                <w:highlight w:val="none"/>
              </w:rPr>
              <w:t>行政办公费用</w:t>
            </w:r>
            <w:r>
              <w:rPr>
                <w:rFonts w:hint="eastAsia" w:ascii="宋体" w:hAnsi="宋体" w:eastAsia="宋体" w:cs="宋体"/>
                <w:color w:val="auto"/>
                <w:spacing w:val="2"/>
                <w:sz w:val="21"/>
                <w:szCs w:val="21"/>
                <w:highlight w:val="none"/>
                <w:lang w:eastAsia="zh-CN"/>
              </w:rPr>
              <w:t>（</w:t>
            </w:r>
            <w:r>
              <w:rPr>
                <w:rFonts w:hint="eastAsia" w:ascii="宋体" w:hAnsi="宋体" w:cs="宋体"/>
                <w:color w:val="auto"/>
                <w:spacing w:val="2"/>
                <w:sz w:val="21"/>
                <w:szCs w:val="21"/>
                <w:highlight w:val="none"/>
                <w:lang w:val="en-US" w:eastAsia="zh-CN"/>
              </w:rPr>
              <w:t>办公设备（电脑、打印机等）、</w:t>
            </w:r>
            <w:r>
              <w:rPr>
                <w:rFonts w:hint="eastAsia" w:ascii="宋体" w:hAnsi="宋体" w:eastAsia="宋体" w:cs="宋体"/>
                <w:color w:val="auto"/>
                <w:spacing w:val="2"/>
                <w:sz w:val="21"/>
                <w:szCs w:val="21"/>
                <w:highlight w:val="none"/>
              </w:rPr>
              <w:t>办公耗材（</w:t>
            </w:r>
            <w:r>
              <w:rPr>
                <w:rFonts w:hint="eastAsia" w:ascii="宋体" w:hAnsi="宋体" w:eastAsia="宋体" w:cs="宋体"/>
                <w:color w:val="auto"/>
                <w:spacing w:val="2"/>
                <w:sz w:val="21"/>
                <w:szCs w:val="21"/>
                <w:highlight w:val="none"/>
                <w:lang w:val="en-US" w:eastAsia="zh-CN"/>
              </w:rPr>
              <w:t>售楼处的</w:t>
            </w:r>
            <w:r>
              <w:rPr>
                <w:rFonts w:hint="eastAsia" w:ascii="宋体" w:hAnsi="宋体" w:eastAsia="宋体" w:cs="宋体"/>
                <w:color w:val="auto"/>
                <w:spacing w:val="2"/>
                <w:sz w:val="21"/>
                <w:szCs w:val="21"/>
                <w:highlight w:val="none"/>
              </w:rPr>
              <w:t>办公文具、</w:t>
            </w:r>
            <w:r>
              <w:rPr>
                <w:rFonts w:hint="eastAsia" w:ascii="宋体" w:hAnsi="宋体" w:eastAsia="宋体" w:cs="宋体"/>
                <w:color w:val="auto"/>
                <w:spacing w:val="2"/>
                <w:sz w:val="21"/>
                <w:szCs w:val="21"/>
                <w:highlight w:val="none"/>
                <w:lang w:val="en-US" w:eastAsia="zh-CN"/>
              </w:rPr>
              <w:t>打印</w:t>
            </w:r>
            <w:r>
              <w:rPr>
                <w:rFonts w:hint="eastAsia" w:ascii="宋体" w:hAnsi="宋体" w:eastAsia="宋体" w:cs="宋体"/>
                <w:color w:val="auto"/>
                <w:spacing w:val="2"/>
                <w:sz w:val="21"/>
                <w:szCs w:val="21"/>
                <w:highlight w:val="none"/>
              </w:rPr>
              <w:t>纸张、</w:t>
            </w:r>
            <w:r>
              <w:rPr>
                <w:rFonts w:hint="eastAsia" w:ascii="宋体" w:hAnsi="宋体" w:eastAsia="宋体" w:cs="宋体"/>
                <w:color w:val="auto"/>
                <w:spacing w:val="2"/>
                <w:sz w:val="21"/>
                <w:szCs w:val="21"/>
                <w:highlight w:val="none"/>
                <w:lang w:val="en-US" w:eastAsia="zh-CN"/>
              </w:rPr>
              <w:t>打印机墨盒等</w:t>
            </w:r>
            <w:r>
              <w:rPr>
                <w:rFonts w:hint="eastAsia" w:ascii="宋体" w:hAnsi="宋体" w:eastAsia="宋体" w:cs="宋体"/>
                <w:color w:val="auto"/>
                <w:spacing w:val="2"/>
                <w:sz w:val="21"/>
                <w:szCs w:val="21"/>
                <w:highlight w:val="none"/>
              </w:rPr>
              <w:t>）、劳保费用、工装等办公杂费</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及相应的管理费和税金</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基本</w:t>
            </w:r>
            <w:r>
              <w:rPr>
                <w:rFonts w:hint="eastAsia" w:ascii="宋体" w:hAnsi="宋体" w:eastAsia="宋体" w:cs="宋体"/>
                <w:color w:val="auto"/>
                <w:spacing w:val="2"/>
                <w:sz w:val="21"/>
                <w:szCs w:val="21"/>
                <w:highlight w:val="none"/>
                <w:lang w:val="en-US" w:eastAsia="zh-CN"/>
              </w:rPr>
              <w:t>服务</w:t>
            </w:r>
            <w:r>
              <w:rPr>
                <w:rFonts w:hint="eastAsia" w:ascii="宋体" w:hAnsi="宋体" w:eastAsia="宋体" w:cs="宋体"/>
                <w:color w:val="auto"/>
                <w:spacing w:val="2"/>
                <w:sz w:val="21"/>
                <w:szCs w:val="21"/>
                <w:highlight w:val="none"/>
              </w:rPr>
              <w:t>费用</w:t>
            </w:r>
            <w:r>
              <w:rPr>
                <w:rFonts w:hint="eastAsia" w:ascii="宋体" w:hAnsi="宋体" w:cs="宋体"/>
                <w:color w:val="auto"/>
                <w:sz w:val="21"/>
                <w:szCs w:val="21"/>
                <w:highlight w:val="none"/>
              </w:rPr>
              <w:t>固定全费用综合单价包干，</w:t>
            </w:r>
            <w:r>
              <w:rPr>
                <w:rFonts w:hint="eastAsia" w:ascii="宋体" w:hAnsi="宋体" w:cs="宋体"/>
                <w:color w:val="auto"/>
                <w:sz w:val="21"/>
                <w:szCs w:val="21"/>
                <w:highlight w:val="none"/>
                <w:lang w:eastAsia="zh-CN"/>
              </w:rPr>
              <w:t>甲方不再就上述内容支付任何其它费用</w:t>
            </w:r>
            <w:r>
              <w:rPr>
                <w:rFonts w:hint="eastAsia" w:ascii="宋体" w:hAnsi="宋体" w:cs="宋体"/>
                <w:color w:val="auto"/>
                <w:sz w:val="21"/>
                <w:szCs w:val="21"/>
                <w:highlight w:val="none"/>
              </w:rPr>
              <w:t>。甲方根据</w:t>
            </w:r>
            <w:r>
              <w:rPr>
                <w:rFonts w:hint="eastAsia" w:ascii="宋体" w:hAnsi="宋体" w:cs="宋体"/>
                <w:color w:val="auto"/>
                <w:sz w:val="21"/>
                <w:szCs w:val="21"/>
                <w:highlight w:val="none"/>
                <w:lang w:val="en-US" w:eastAsia="zh-CN"/>
              </w:rPr>
              <w:t>乙方每月</w:t>
            </w:r>
            <w:r>
              <w:rPr>
                <w:rFonts w:hint="eastAsia" w:ascii="宋体" w:hAnsi="宋体" w:cs="宋体"/>
                <w:color w:val="auto"/>
                <w:sz w:val="21"/>
                <w:szCs w:val="21"/>
                <w:highlight w:val="none"/>
              </w:rPr>
              <w:t>实际到岗</w:t>
            </w:r>
            <w:r>
              <w:rPr>
                <w:rFonts w:hint="eastAsia" w:ascii="宋体" w:hAnsi="宋体" w:cs="宋体"/>
                <w:color w:val="auto"/>
                <w:sz w:val="21"/>
                <w:szCs w:val="21"/>
                <w:highlight w:val="none"/>
                <w:lang w:val="en-US" w:eastAsia="zh-CN"/>
              </w:rPr>
              <w:t>人员</w:t>
            </w:r>
            <w:r>
              <w:rPr>
                <w:rFonts w:hint="eastAsia" w:ascii="宋体" w:hAnsi="宋体" w:cs="宋体"/>
                <w:color w:val="auto"/>
                <w:sz w:val="21"/>
                <w:szCs w:val="21"/>
                <w:highlight w:val="none"/>
              </w:rPr>
              <w:t>情况</w:t>
            </w:r>
            <w:r>
              <w:rPr>
                <w:rFonts w:hint="eastAsia" w:ascii="宋体" w:hAnsi="宋体" w:cs="宋体"/>
                <w:color w:val="auto"/>
                <w:sz w:val="21"/>
                <w:szCs w:val="21"/>
                <w:highlight w:val="none"/>
                <w:lang w:val="en-US" w:eastAsia="zh-CN"/>
              </w:rPr>
              <w:t>按实</w:t>
            </w:r>
            <w:r>
              <w:rPr>
                <w:rFonts w:hint="eastAsia" w:ascii="宋体" w:hAnsi="宋体" w:cs="宋体"/>
                <w:color w:val="auto"/>
                <w:sz w:val="21"/>
                <w:szCs w:val="21"/>
                <w:highlight w:val="none"/>
              </w:rPr>
              <w:t>结算支付</w:t>
            </w:r>
            <w:r>
              <w:rPr>
                <w:rFonts w:hint="eastAsia" w:ascii="宋体" w:hAnsi="宋体" w:cs="宋体"/>
                <w:color w:val="auto"/>
                <w:sz w:val="21"/>
                <w:szCs w:val="21"/>
                <w:highlight w:val="none"/>
                <w:lang w:val="en-US" w:eastAsia="zh-CN"/>
              </w:rPr>
              <w:t>月基本服务费，</w:t>
            </w:r>
            <w:r>
              <w:rPr>
                <w:rFonts w:hint="eastAsia" w:asciiTheme="minorEastAsia" w:hAnsiTheme="minorEastAsia" w:eastAsiaTheme="minorEastAsia"/>
                <w:color w:val="auto"/>
                <w:szCs w:val="21"/>
                <w:highlight w:val="none"/>
                <w:lang w:val="en-US" w:eastAsia="zh-CN"/>
              </w:rPr>
              <w:t>且结算金额不超过月基本服务费合同签约价</w:t>
            </w:r>
            <w:r>
              <w:rPr>
                <w:rFonts w:hint="eastAsia" w:ascii="宋体" w:hAnsi="宋体" w:cs="宋体"/>
                <w:color w:val="auto"/>
                <w:sz w:val="21"/>
                <w:szCs w:val="21"/>
                <w:highlight w:val="none"/>
                <w:lang w:val="en-US" w:eastAsia="zh-CN"/>
              </w:rPr>
              <w:t>。</w:t>
            </w:r>
          </w:p>
        </w:tc>
      </w:tr>
    </w:tbl>
    <w:p w14:paraId="3396357F">
      <w:pPr>
        <w:shd w:val="clear"/>
        <w:rPr>
          <w:rFonts w:hint="eastAsia" w:ascii="宋体" w:hAnsi="宋体" w:eastAsia="宋体" w:cs="宋体"/>
          <w:color w:val="auto"/>
          <w:sz w:val="21"/>
          <w:szCs w:val="21"/>
          <w:highlight w:val="none"/>
        </w:rPr>
      </w:pPr>
    </w:p>
    <w:p w14:paraId="47F1D003">
      <w:pPr>
        <w:shd w:val="clear"/>
        <w:rPr>
          <w:rFonts w:ascii="宋体" w:hAnsi="宋体" w:cs="宋体"/>
          <w:b/>
          <w:color w:val="auto"/>
          <w:szCs w:val="21"/>
          <w:highlight w:val="none"/>
        </w:rPr>
      </w:pPr>
    </w:p>
    <w:p w14:paraId="25666A7A">
      <w:pPr>
        <w:pStyle w:val="47"/>
        <w:keepNext w:val="0"/>
        <w:keepLines w:val="0"/>
        <w:pageBreakBefore w:val="0"/>
        <w:widowControl w:val="0"/>
        <w:shd w:val="clear"/>
        <w:kinsoku/>
        <w:wordWrap/>
        <w:overflowPunct/>
        <w:topLinePunct w:val="0"/>
        <w:autoSpaceDE/>
        <w:autoSpaceDN/>
        <w:bidi w:val="0"/>
        <w:adjustRightInd/>
        <w:snapToGrid/>
        <w:spacing w:before="0" w:after="0" w:line="360" w:lineRule="auto"/>
        <w:ind w:left="0" w:leftChars="0" w:firstLine="0" w:firstLineChars="0"/>
        <w:textAlignment w:val="auto"/>
        <w:rPr>
          <w:rFonts w:hint="eastAsia" w:ascii="Times New Roman" w:hAnsi="Times New Roman" w:eastAsia="宋体" w:cs="Times New Roman"/>
          <w:b/>
          <w:bCs/>
          <w:color w:val="auto"/>
          <w:kern w:val="2"/>
          <w:sz w:val="21"/>
          <w:szCs w:val="22"/>
          <w:highlight w:val="none"/>
          <w:lang w:val="en-US" w:eastAsia="zh-CN" w:bidi="ar-SA"/>
        </w:rPr>
      </w:pPr>
      <w:r>
        <w:rPr>
          <w:rFonts w:hint="eastAsia" w:ascii="宋体" w:hAnsi="宋体" w:cs="宋体"/>
          <w:b/>
          <w:color w:val="auto"/>
          <w:sz w:val="36"/>
          <w:szCs w:val="36"/>
          <w:highlight w:val="none"/>
        </w:rPr>
        <w:br w:type="page"/>
      </w:r>
      <w:r>
        <w:rPr>
          <w:rFonts w:hint="eastAsia" w:ascii="宋体" w:hAnsi="宋体" w:eastAsia="宋体" w:cs="宋体"/>
          <w:b/>
          <w:bCs/>
          <w:color w:val="auto"/>
          <w:kern w:val="0"/>
          <w:sz w:val="21"/>
          <w:szCs w:val="21"/>
          <w:highlight w:val="none"/>
          <w:lang w:val="en-US" w:eastAsia="zh-CN" w:bidi="ar-SA"/>
        </w:rPr>
        <w:t>附件</w:t>
      </w:r>
      <w:r>
        <w:rPr>
          <w:rFonts w:hint="eastAsia" w:ascii="宋体"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w:t>
      </w:r>
      <w:r>
        <w:rPr>
          <w:rFonts w:hint="eastAsia" w:ascii="Times New Roman" w:hAnsi="Times New Roman" w:eastAsia="宋体" w:cs="Times New Roman"/>
          <w:b/>
          <w:bCs/>
          <w:color w:val="auto"/>
          <w:kern w:val="2"/>
          <w:sz w:val="21"/>
          <w:szCs w:val="22"/>
          <w:highlight w:val="none"/>
          <w:lang w:val="en-US" w:eastAsia="zh-CN" w:bidi="ar-SA"/>
        </w:rPr>
        <w:t>营销代理履约评估表</w:t>
      </w:r>
    </w:p>
    <w:p w14:paraId="5C72D737">
      <w:pPr>
        <w:pStyle w:val="49"/>
        <w:shd w:val="clear"/>
        <w:rPr>
          <w:rFonts w:hint="eastAsia"/>
          <w:color w:val="auto"/>
          <w:highlight w:val="none"/>
        </w:rPr>
      </w:pPr>
    </w:p>
    <w:tbl>
      <w:tblPr>
        <w:tblStyle w:val="3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22"/>
        <w:gridCol w:w="4986"/>
        <w:gridCol w:w="1413"/>
        <w:gridCol w:w="1409"/>
      </w:tblGrid>
      <w:tr w14:paraId="75D38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5000" w:type="pct"/>
            <w:gridSpan w:val="4"/>
            <w:tcBorders>
              <w:top w:val="single" w:color="000000" w:sz="4" w:space="0"/>
              <w:left w:val="single" w:color="000000" w:sz="4" w:space="0"/>
              <w:bottom w:val="single" w:color="000000" w:sz="4" w:space="0"/>
              <w:right w:val="single" w:color="000000" w:sz="4" w:space="0"/>
            </w:tcBorders>
            <w:noWrap w:val="0"/>
            <w:vAlign w:val="center"/>
          </w:tcPr>
          <w:p w14:paraId="30A885C4">
            <w:pPr>
              <w:keepNext w:val="0"/>
              <w:keepLines w:val="0"/>
              <w:pageBreakBefore w:val="0"/>
              <w:widowControl/>
              <w:suppressLineNumbers w:val="0"/>
              <w:shd w:val="clear"/>
              <w:kinsoku/>
              <w:wordWrap/>
              <w:overflowPunct/>
              <w:topLinePunct w:val="0"/>
              <w:bidi w:val="0"/>
              <w:adjustRightInd/>
              <w:spacing w:line="500" w:lineRule="exact"/>
              <w:ind w:firstLine="420" w:firstLineChars="200"/>
              <w:jc w:val="center"/>
              <w:textAlignment w:val="center"/>
              <w:outlineLvl w:val="9"/>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营销代理履约评估表</w:t>
            </w:r>
          </w:p>
        </w:tc>
      </w:tr>
      <w:tr w14:paraId="0C0AB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88" w:type="pct"/>
            <w:tcBorders>
              <w:top w:val="nil"/>
              <w:left w:val="single" w:color="000000" w:sz="4" w:space="0"/>
              <w:bottom w:val="single" w:color="000000" w:sz="4" w:space="0"/>
              <w:right w:val="nil"/>
            </w:tcBorders>
            <w:shd w:val="clear" w:color="auto" w:fill="C0C0C0"/>
            <w:noWrap w:val="0"/>
            <w:vAlign w:val="center"/>
          </w:tcPr>
          <w:p w14:paraId="4A71D447">
            <w:pPr>
              <w:keepNext w:val="0"/>
              <w:keepLines w:val="0"/>
              <w:pageBreakBefore w:val="0"/>
              <w:widowControl/>
              <w:suppressLineNumbers w:val="0"/>
              <w:shd w:val="clear"/>
              <w:kinsoku/>
              <w:wordWrap/>
              <w:overflowPunct/>
              <w:topLinePunct w:val="0"/>
              <w:bidi w:val="0"/>
              <w:adjustRightInd/>
              <w:spacing w:line="500" w:lineRule="exact"/>
              <w:ind w:firstLine="420" w:firstLineChars="200"/>
              <w:jc w:val="both"/>
              <w:textAlignment w:val="center"/>
              <w:outlineLvl w:val="9"/>
              <w:rPr>
                <w:rFonts w:hint="eastAsia" w:ascii="Times New Roman" w:hAnsi="Times New Roman" w:eastAsia="宋体" w:cs="Times New Roman"/>
                <w:color w:val="auto"/>
                <w:kern w:val="2"/>
                <w:sz w:val="21"/>
                <w:szCs w:val="22"/>
                <w:highlight w:val="none"/>
                <w:lang w:val="en-US" w:eastAsia="zh-CN" w:bidi="ar-SA"/>
              </w:rPr>
            </w:pPr>
            <w:r>
              <w:rPr>
                <w:rFonts w:hint="eastAsia" w:cs="Times New Roman"/>
                <w:color w:val="auto"/>
                <w:kern w:val="2"/>
                <w:sz w:val="21"/>
                <w:szCs w:val="22"/>
                <w:highlight w:val="none"/>
                <w:lang w:val="en-US" w:eastAsia="zh-CN" w:bidi="ar-SA"/>
              </w:rPr>
              <w:t>评估</w:t>
            </w:r>
            <w:r>
              <w:rPr>
                <w:rFonts w:hint="eastAsia" w:ascii="Times New Roman" w:hAnsi="Times New Roman" w:eastAsia="宋体" w:cs="Times New Roman"/>
                <w:color w:val="auto"/>
                <w:kern w:val="2"/>
                <w:sz w:val="21"/>
                <w:szCs w:val="22"/>
                <w:highlight w:val="none"/>
                <w:lang w:val="en-US" w:eastAsia="zh-CN" w:bidi="ar-SA"/>
              </w:rPr>
              <w:t>项目</w:t>
            </w:r>
          </w:p>
        </w:tc>
        <w:tc>
          <w:tcPr>
            <w:tcW w:w="2562" w:type="pct"/>
            <w:tcBorders>
              <w:top w:val="nil"/>
              <w:left w:val="single" w:color="000000" w:sz="4" w:space="0"/>
              <w:bottom w:val="single" w:color="000000" w:sz="4" w:space="0"/>
              <w:right w:val="single" w:color="000000" w:sz="4" w:space="0"/>
            </w:tcBorders>
            <w:shd w:val="clear" w:color="auto" w:fill="C0C0C0"/>
            <w:noWrap w:val="0"/>
            <w:vAlign w:val="center"/>
          </w:tcPr>
          <w:p w14:paraId="059C830B">
            <w:pPr>
              <w:keepNext w:val="0"/>
              <w:keepLines w:val="0"/>
              <w:pageBreakBefore w:val="0"/>
              <w:widowControl/>
              <w:suppressLineNumbers w:val="0"/>
              <w:shd w:val="clear"/>
              <w:kinsoku/>
              <w:wordWrap/>
              <w:overflowPunct/>
              <w:topLinePunct w:val="0"/>
              <w:bidi w:val="0"/>
              <w:adjustRightInd/>
              <w:spacing w:line="500" w:lineRule="exact"/>
              <w:ind w:firstLine="420" w:firstLineChars="200"/>
              <w:jc w:val="center"/>
              <w:textAlignment w:val="center"/>
              <w:outlineLvl w:val="9"/>
              <w:rPr>
                <w:rFonts w:hint="eastAsia" w:ascii="Times New Roman" w:hAnsi="Times New Roman" w:eastAsia="宋体" w:cs="Times New Roman"/>
                <w:color w:val="auto"/>
                <w:kern w:val="2"/>
                <w:sz w:val="21"/>
                <w:szCs w:val="22"/>
                <w:highlight w:val="none"/>
                <w:lang w:val="en-US" w:eastAsia="zh-CN" w:bidi="ar-SA"/>
              </w:rPr>
            </w:pPr>
            <w:r>
              <w:rPr>
                <w:rFonts w:hint="eastAsia" w:cs="Times New Roman"/>
                <w:color w:val="auto"/>
                <w:kern w:val="2"/>
                <w:sz w:val="21"/>
                <w:szCs w:val="22"/>
                <w:highlight w:val="none"/>
                <w:lang w:val="en-US" w:eastAsia="zh-CN" w:bidi="ar-SA"/>
              </w:rPr>
              <w:t>评估</w:t>
            </w:r>
            <w:r>
              <w:rPr>
                <w:rFonts w:hint="eastAsia" w:ascii="Times New Roman" w:hAnsi="Times New Roman" w:eastAsia="宋体" w:cs="Times New Roman"/>
                <w:color w:val="auto"/>
                <w:kern w:val="2"/>
                <w:sz w:val="21"/>
                <w:szCs w:val="22"/>
                <w:highlight w:val="none"/>
                <w:lang w:val="en-US" w:eastAsia="zh-CN" w:bidi="ar-SA"/>
              </w:rPr>
              <w:t>内容</w:t>
            </w:r>
          </w:p>
        </w:tc>
        <w:tc>
          <w:tcPr>
            <w:tcW w:w="726" w:type="pct"/>
            <w:tcBorders>
              <w:top w:val="nil"/>
              <w:left w:val="single" w:color="000000" w:sz="4" w:space="0"/>
              <w:bottom w:val="single" w:color="000000" w:sz="4" w:space="0"/>
              <w:right w:val="single" w:color="000000" w:sz="4" w:space="0"/>
            </w:tcBorders>
            <w:shd w:val="clear" w:color="auto" w:fill="C0C0C0"/>
            <w:noWrap w:val="0"/>
            <w:vAlign w:val="center"/>
          </w:tcPr>
          <w:p w14:paraId="644EB35C">
            <w:pPr>
              <w:keepNext w:val="0"/>
              <w:keepLines w:val="0"/>
              <w:pageBreakBefore w:val="0"/>
              <w:widowControl/>
              <w:suppressLineNumbers w:val="0"/>
              <w:shd w:val="clear"/>
              <w:kinsoku/>
              <w:wordWrap/>
              <w:overflowPunct/>
              <w:topLinePunct w:val="0"/>
              <w:bidi w:val="0"/>
              <w:adjustRightInd/>
              <w:spacing w:line="500" w:lineRule="exact"/>
              <w:jc w:val="center"/>
              <w:textAlignment w:val="center"/>
              <w:outlineLvl w:val="9"/>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分值</w:t>
            </w:r>
          </w:p>
        </w:tc>
        <w:tc>
          <w:tcPr>
            <w:tcW w:w="722" w:type="pct"/>
            <w:tcBorders>
              <w:top w:val="nil"/>
              <w:left w:val="single" w:color="000000" w:sz="4" w:space="0"/>
              <w:bottom w:val="single" w:color="000000" w:sz="4" w:space="0"/>
              <w:right w:val="single" w:color="000000" w:sz="4" w:space="0"/>
            </w:tcBorders>
            <w:shd w:val="clear" w:color="auto" w:fill="C0C0C0"/>
            <w:noWrap w:val="0"/>
            <w:vAlign w:val="center"/>
          </w:tcPr>
          <w:p w14:paraId="72ECA0F7">
            <w:pPr>
              <w:keepNext w:val="0"/>
              <w:keepLines w:val="0"/>
              <w:pageBreakBefore w:val="0"/>
              <w:widowControl/>
              <w:suppressLineNumbers w:val="0"/>
              <w:shd w:val="clear"/>
              <w:kinsoku/>
              <w:wordWrap/>
              <w:overflowPunct/>
              <w:topLinePunct w:val="0"/>
              <w:bidi w:val="0"/>
              <w:adjustRightInd/>
              <w:spacing w:line="500" w:lineRule="exact"/>
              <w:ind w:firstLine="420" w:firstLineChars="200"/>
              <w:jc w:val="both"/>
              <w:textAlignment w:val="center"/>
              <w:outlineLvl w:val="9"/>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评分</w:t>
            </w:r>
          </w:p>
        </w:tc>
      </w:tr>
      <w:tr w14:paraId="3807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88" w:type="pct"/>
            <w:tcBorders>
              <w:top w:val="single" w:color="000000" w:sz="4" w:space="0"/>
              <w:left w:val="single" w:color="000000" w:sz="4" w:space="0"/>
              <w:bottom w:val="single" w:color="000000" w:sz="4" w:space="0"/>
              <w:right w:val="nil"/>
            </w:tcBorders>
            <w:noWrap w:val="0"/>
            <w:vAlign w:val="center"/>
          </w:tcPr>
          <w:p w14:paraId="77389B5E">
            <w:pPr>
              <w:keepNext w:val="0"/>
              <w:keepLines w:val="0"/>
              <w:pageBreakBefore w:val="0"/>
              <w:widowControl/>
              <w:suppressLineNumbers w:val="0"/>
              <w:shd w:val="clear"/>
              <w:kinsoku/>
              <w:wordWrap/>
              <w:overflowPunct/>
              <w:topLinePunct w:val="0"/>
              <w:bidi w:val="0"/>
              <w:adjustRightInd/>
              <w:spacing w:line="500" w:lineRule="exact"/>
              <w:ind w:firstLine="420" w:firstLineChars="200"/>
              <w:jc w:val="both"/>
              <w:textAlignment w:val="center"/>
              <w:outlineLvl w:val="9"/>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销售业绩</w:t>
            </w:r>
          </w:p>
        </w:tc>
        <w:tc>
          <w:tcPr>
            <w:tcW w:w="2562" w:type="pct"/>
            <w:tcBorders>
              <w:top w:val="single" w:color="000000" w:sz="4" w:space="0"/>
              <w:left w:val="single" w:color="000000" w:sz="4" w:space="0"/>
              <w:bottom w:val="single" w:color="000000" w:sz="4" w:space="0"/>
              <w:right w:val="single" w:color="000000" w:sz="4" w:space="0"/>
            </w:tcBorders>
            <w:noWrap w:val="0"/>
            <w:vAlign w:val="center"/>
          </w:tcPr>
          <w:p w14:paraId="1A175368">
            <w:pPr>
              <w:keepNext w:val="0"/>
              <w:keepLines w:val="0"/>
              <w:pageBreakBefore w:val="0"/>
              <w:widowControl/>
              <w:suppressLineNumbers w:val="0"/>
              <w:shd w:val="clear"/>
              <w:kinsoku/>
              <w:wordWrap/>
              <w:overflowPunct/>
              <w:topLinePunct w:val="0"/>
              <w:bidi w:val="0"/>
              <w:adjustRightInd/>
              <w:spacing w:line="500" w:lineRule="exact"/>
              <w:jc w:val="both"/>
              <w:textAlignment w:val="center"/>
              <w:outlineLvl w:val="9"/>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年度销售目标达成率</w:t>
            </w:r>
          </w:p>
          <w:p w14:paraId="4DDCCF2A">
            <w:pPr>
              <w:keepNext w:val="0"/>
              <w:keepLines w:val="0"/>
              <w:pageBreakBefore w:val="0"/>
              <w:widowControl/>
              <w:suppressLineNumbers w:val="0"/>
              <w:shd w:val="clear"/>
              <w:kinsoku/>
              <w:wordWrap/>
              <w:overflowPunct/>
              <w:topLinePunct w:val="0"/>
              <w:bidi w:val="0"/>
              <w:adjustRightInd/>
              <w:spacing w:line="500" w:lineRule="exact"/>
              <w:jc w:val="both"/>
              <w:textAlignment w:val="center"/>
              <w:outlineLvl w:val="9"/>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（得分=年度签约额/年度指标*50）</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7AAEBF4E">
            <w:pPr>
              <w:keepNext w:val="0"/>
              <w:keepLines w:val="0"/>
              <w:pageBreakBefore w:val="0"/>
              <w:widowControl/>
              <w:suppressLineNumbers w:val="0"/>
              <w:shd w:val="clear"/>
              <w:kinsoku/>
              <w:wordWrap/>
              <w:overflowPunct/>
              <w:topLinePunct w:val="0"/>
              <w:bidi w:val="0"/>
              <w:adjustRightInd/>
              <w:spacing w:line="500" w:lineRule="exact"/>
              <w:jc w:val="center"/>
              <w:textAlignment w:val="center"/>
              <w:outlineLvl w:val="9"/>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50</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0FE2D364">
            <w:pPr>
              <w:pageBreakBefore w:val="0"/>
              <w:shd w:val="clear"/>
              <w:kinsoku/>
              <w:wordWrap/>
              <w:overflowPunct/>
              <w:topLinePunct w:val="0"/>
              <w:bidi w:val="0"/>
              <w:adjustRightInd/>
              <w:spacing w:line="500" w:lineRule="exact"/>
              <w:ind w:firstLine="420" w:firstLineChars="200"/>
              <w:jc w:val="center"/>
              <w:outlineLvl w:val="9"/>
              <w:rPr>
                <w:rFonts w:hint="eastAsia" w:ascii="Times New Roman" w:hAnsi="Times New Roman" w:eastAsia="宋体" w:cs="Times New Roman"/>
                <w:color w:val="auto"/>
                <w:kern w:val="2"/>
                <w:sz w:val="21"/>
                <w:szCs w:val="22"/>
                <w:highlight w:val="none"/>
                <w:lang w:val="en-US" w:eastAsia="zh-CN" w:bidi="ar-SA"/>
              </w:rPr>
            </w:pPr>
          </w:p>
        </w:tc>
      </w:tr>
      <w:tr w14:paraId="55DA4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88" w:type="pct"/>
            <w:tcBorders>
              <w:top w:val="single" w:color="000000" w:sz="4" w:space="0"/>
              <w:left w:val="single" w:color="000000" w:sz="4" w:space="0"/>
              <w:bottom w:val="nil"/>
              <w:right w:val="nil"/>
            </w:tcBorders>
            <w:noWrap w:val="0"/>
            <w:vAlign w:val="center"/>
          </w:tcPr>
          <w:p w14:paraId="17A5DA62">
            <w:pPr>
              <w:keepNext w:val="0"/>
              <w:keepLines w:val="0"/>
              <w:pageBreakBefore w:val="0"/>
              <w:widowControl/>
              <w:suppressLineNumbers w:val="0"/>
              <w:shd w:val="clear"/>
              <w:kinsoku/>
              <w:wordWrap/>
              <w:overflowPunct/>
              <w:topLinePunct w:val="0"/>
              <w:bidi w:val="0"/>
              <w:adjustRightInd/>
              <w:spacing w:line="500" w:lineRule="exact"/>
              <w:ind w:firstLine="420" w:firstLineChars="200"/>
              <w:jc w:val="both"/>
              <w:textAlignment w:val="center"/>
              <w:outlineLvl w:val="9"/>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风控管理</w:t>
            </w:r>
          </w:p>
        </w:tc>
        <w:tc>
          <w:tcPr>
            <w:tcW w:w="2562" w:type="pct"/>
            <w:tcBorders>
              <w:top w:val="single" w:color="000000" w:sz="4" w:space="0"/>
              <w:left w:val="single" w:color="000000" w:sz="4" w:space="0"/>
              <w:bottom w:val="single" w:color="000000" w:sz="4" w:space="0"/>
              <w:right w:val="single" w:color="000000" w:sz="4" w:space="0"/>
            </w:tcBorders>
            <w:noWrap w:val="0"/>
            <w:vAlign w:val="center"/>
          </w:tcPr>
          <w:p w14:paraId="1F841A72">
            <w:pPr>
              <w:keepNext w:val="0"/>
              <w:keepLines w:val="0"/>
              <w:pageBreakBefore w:val="0"/>
              <w:widowControl/>
              <w:suppressLineNumbers w:val="0"/>
              <w:shd w:val="clear"/>
              <w:kinsoku/>
              <w:wordWrap/>
              <w:overflowPunct/>
              <w:topLinePunct w:val="0"/>
              <w:bidi w:val="0"/>
              <w:adjustRightInd/>
              <w:spacing w:line="500" w:lineRule="exact"/>
              <w:jc w:val="both"/>
              <w:textAlignment w:val="center"/>
              <w:outlineLvl w:val="9"/>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案场销售风险防控</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2DF5A6BF">
            <w:pPr>
              <w:keepNext w:val="0"/>
              <w:keepLines w:val="0"/>
              <w:pageBreakBefore w:val="0"/>
              <w:widowControl/>
              <w:suppressLineNumbers w:val="0"/>
              <w:shd w:val="clear"/>
              <w:kinsoku/>
              <w:wordWrap/>
              <w:overflowPunct/>
              <w:topLinePunct w:val="0"/>
              <w:bidi w:val="0"/>
              <w:adjustRightInd/>
              <w:spacing w:line="500" w:lineRule="exact"/>
              <w:jc w:val="center"/>
              <w:textAlignment w:val="center"/>
              <w:outlineLvl w:val="9"/>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20</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52B4DCD9">
            <w:pPr>
              <w:pageBreakBefore w:val="0"/>
              <w:shd w:val="clear"/>
              <w:kinsoku/>
              <w:wordWrap/>
              <w:overflowPunct/>
              <w:topLinePunct w:val="0"/>
              <w:bidi w:val="0"/>
              <w:adjustRightInd/>
              <w:spacing w:line="500" w:lineRule="exact"/>
              <w:ind w:firstLine="420" w:firstLineChars="200"/>
              <w:jc w:val="center"/>
              <w:outlineLvl w:val="9"/>
              <w:rPr>
                <w:rFonts w:hint="eastAsia" w:ascii="Times New Roman" w:hAnsi="Times New Roman" w:eastAsia="宋体" w:cs="Times New Roman"/>
                <w:color w:val="auto"/>
                <w:kern w:val="2"/>
                <w:sz w:val="21"/>
                <w:szCs w:val="22"/>
                <w:highlight w:val="none"/>
                <w:lang w:val="en-US" w:eastAsia="zh-CN" w:bidi="ar-SA"/>
              </w:rPr>
            </w:pPr>
          </w:p>
        </w:tc>
      </w:tr>
      <w:tr w14:paraId="541F3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88" w:type="pct"/>
            <w:tcBorders>
              <w:top w:val="single" w:color="000000" w:sz="4" w:space="0"/>
              <w:left w:val="single" w:color="000000" w:sz="4" w:space="0"/>
              <w:bottom w:val="single" w:color="000000" w:sz="4" w:space="0"/>
              <w:right w:val="nil"/>
            </w:tcBorders>
            <w:noWrap w:val="0"/>
            <w:vAlign w:val="center"/>
          </w:tcPr>
          <w:p w14:paraId="4A5507F6">
            <w:pPr>
              <w:keepNext w:val="0"/>
              <w:keepLines w:val="0"/>
              <w:pageBreakBefore w:val="0"/>
              <w:widowControl/>
              <w:suppressLineNumbers w:val="0"/>
              <w:shd w:val="clear"/>
              <w:kinsoku/>
              <w:wordWrap/>
              <w:overflowPunct/>
              <w:topLinePunct w:val="0"/>
              <w:bidi w:val="0"/>
              <w:adjustRightInd/>
              <w:spacing w:line="500" w:lineRule="exact"/>
              <w:ind w:firstLine="420" w:firstLineChars="200"/>
              <w:jc w:val="both"/>
              <w:textAlignment w:val="center"/>
              <w:outlineLvl w:val="9"/>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案场管理</w:t>
            </w:r>
          </w:p>
        </w:tc>
        <w:tc>
          <w:tcPr>
            <w:tcW w:w="2562" w:type="pct"/>
            <w:tcBorders>
              <w:top w:val="single" w:color="000000" w:sz="4" w:space="0"/>
              <w:left w:val="single" w:color="000000" w:sz="4" w:space="0"/>
              <w:bottom w:val="single" w:color="000000" w:sz="4" w:space="0"/>
              <w:right w:val="single" w:color="000000" w:sz="4" w:space="0"/>
            </w:tcBorders>
            <w:noWrap w:val="0"/>
            <w:vAlign w:val="center"/>
          </w:tcPr>
          <w:p w14:paraId="14DFBE8E">
            <w:pPr>
              <w:keepNext w:val="0"/>
              <w:keepLines w:val="0"/>
              <w:pageBreakBefore w:val="0"/>
              <w:widowControl/>
              <w:suppressLineNumbers w:val="0"/>
              <w:shd w:val="clear"/>
              <w:kinsoku/>
              <w:wordWrap/>
              <w:overflowPunct/>
              <w:topLinePunct w:val="0"/>
              <w:bidi w:val="0"/>
              <w:adjustRightInd/>
              <w:spacing w:line="500" w:lineRule="exact"/>
              <w:jc w:val="both"/>
              <w:textAlignment w:val="center"/>
              <w:outlineLvl w:val="9"/>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物业服务管理、销售人员管理、销售流程管理、各类档案归档管理等</w:t>
            </w:r>
          </w:p>
        </w:tc>
        <w:tc>
          <w:tcPr>
            <w:tcW w:w="726" w:type="pct"/>
            <w:tcBorders>
              <w:top w:val="single" w:color="000000" w:sz="4" w:space="0"/>
              <w:left w:val="single" w:color="000000" w:sz="4" w:space="0"/>
              <w:bottom w:val="single" w:color="000000" w:sz="4" w:space="0"/>
              <w:right w:val="single" w:color="000000" w:sz="4" w:space="0"/>
            </w:tcBorders>
            <w:noWrap w:val="0"/>
            <w:vAlign w:val="center"/>
          </w:tcPr>
          <w:p w14:paraId="6E907CBD">
            <w:pPr>
              <w:keepNext w:val="0"/>
              <w:keepLines w:val="0"/>
              <w:pageBreakBefore w:val="0"/>
              <w:widowControl/>
              <w:suppressLineNumbers w:val="0"/>
              <w:shd w:val="clear"/>
              <w:kinsoku/>
              <w:wordWrap/>
              <w:overflowPunct/>
              <w:topLinePunct w:val="0"/>
              <w:bidi w:val="0"/>
              <w:adjustRightInd/>
              <w:spacing w:line="500" w:lineRule="exact"/>
              <w:jc w:val="center"/>
              <w:textAlignment w:val="center"/>
              <w:outlineLvl w:val="9"/>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20</w:t>
            </w:r>
          </w:p>
        </w:tc>
        <w:tc>
          <w:tcPr>
            <w:tcW w:w="722" w:type="pct"/>
            <w:tcBorders>
              <w:top w:val="single" w:color="000000" w:sz="4" w:space="0"/>
              <w:left w:val="single" w:color="000000" w:sz="4" w:space="0"/>
              <w:bottom w:val="single" w:color="000000" w:sz="4" w:space="0"/>
              <w:right w:val="single" w:color="000000" w:sz="4" w:space="0"/>
            </w:tcBorders>
            <w:noWrap w:val="0"/>
            <w:vAlign w:val="center"/>
          </w:tcPr>
          <w:p w14:paraId="0E2AD2C0">
            <w:pPr>
              <w:pageBreakBefore w:val="0"/>
              <w:shd w:val="clear"/>
              <w:kinsoku/>
              <w:wordWrap/>
              <w:overflowPunct/>
              <w:topLinePunct w:val="0"/>
              <w:bidi w:val="0"/>
              <w:adjustRightInd/>
              <w:spacing w:line="500" w:lineRule="exact"/>
              <w:ind w:firstLine="420" w:firstLineChars="200"/>
              <w:jc w:val="center"/>
              <w:outlineLvl w:val="9"/>
              <w:rPr>
                <w:rFonts w:hint="eastAsia" w:ascii="Times New Roman" w:hAnsi="Times New Roman" w:eastAsia="宋体" w:cs="Times New Roman"/>
                <w:color w:val="auto"/>
                <w:kern w:val="2"/>
                <w:sz w:val="21"/>
                <w:szCs w:val="22"/>
                <w:highlight w:val="none"/>
                <w:lang w:val="en-US" w:eastAsia="zh-CN" w:bidi="ar-SA"/>
              </w:rPr>
            </w:pPr>
          </w:p>
        </w:tc>
      </w:tr>
      <w:tr w14:paraId="0DC89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88" w:type="pct"/>
            <w:tcBorders>
              <w:top w:val="single" w:color="000000" w:sz="4" w:space="0"/>
              <w:left w:val="single" w:color="000000" w:sz="4" w:space="0"/>
              <w:bottom w:val="single" w:color="000000" w:sz="4" w:space="0"/>
              <w:right w:val="nil"/>
            </w:tcBorders>
            <w:noWrap w:val="0"/>
            <w:vAlign w:val="center"/>
          </w:tcPr>
          <w:p w14:paraId="4A73CF24">
            <w:pPr>
              <w:keepNext w:val="0"/>
              <w:keepLines w:val="0"/>
              <w:pageBreakBefore w:val="0"/>
              <w:widowControl/>
              <w:suppressLineNumbers w:val="0"/>
              <w:shd w:val="clear"/>
              <w:kinsoku/>
              <w:wordWrap/>
              <w:overflowPunct/>
              <w:topLinePunct w:val="0"/>
              <w:bidi w:val="0"/>
              <w:adjustRightInd/>
              <w:spacing w:line="500" w:lineRule="exact"/>
              <w:ind w:firstLine="420" w:firstLineChars="200"/>
              <w:jc w:val="both"/>
              <w:textAlignment w:val="center"/>
              <w:outlineLvl w:val="9"/>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客户维系</w:t>
            </w:r>
          </w:p>
        </w:tc>
        <w:tc>
          <w:tcPr>
            <w:tcW w:w="2562" w:type="pct"/>
            <w:tcBorders>
              <w:top w:val="single" w:color="000000" w:sz="4" w:space="0"/>
              <w:left w:val="single" w:color="000000" w:sz="4" w:space="0"/>
              <w:bottom w:val="nil"/>
              <w:right w:val="single" w:color="000000" w:sz="4" w:space="0"/>
            </w:tcBorders>
            <w:noWrap w:val="0"/>
            <w:vAlign w:val="center"/>
          </w:tcPr>
          <w:p w14:paraId="3F3475A5">
            <w:pPr>
              <w:keepNext w:val="0"/>
              <w:keepLines w:val="0"/>
              <w:pageBreakBefore w:val="0"/>
              <w:widowControl/>
              <w:suppressLineNumbers w:val="0"/>
              <w:shd w:val="clear"/>
              <w:kinsoku/>
              <w:wordWrap/>
              <w:overflowPunct/>
              <w:topLinePunct w:val="0"/>
              <w:bidi w:val="0"/>
              <w:adjustRightInd/>
              <w:spacing w:line="500" w:lineRule="exact"/>
              <w:jc w:val="both"/>
              <w:textAlignment w:val="center"/>
              <w:outlineLvl w:val="9"/>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客户关系维护</w:t>
            </w:r>
          </w:p>
        </w:tc>
        <w:tc>
          <w:tcPr>
            <w:tcW w:w="726" w:type="pct"/>
            <w:tcBorders>
              <w:top w:val="single" w:color="000000" w:sz="4" w:space="0"/>
              <w:left w:val="single" w:color="000000" w:sz="4" w:space="0"/>
              <w:bottom w:val="nil"/>
              <w:right w:val="single" w:color="000000" w:sz="4" w:space="0"/>
            </w:tcBorders>
            <w:noWrap w:val="0"/>
            <w:vAlign w:val="center"/>
          </w:tcPr>
          <w:p w14:paraId="7B048BC5">
            <w:pPr>
              <w:keepNext w:val="0"/>
              <w:keepLines w:val="0"/>
              <w:pageBreakBefore w:val="0"/>
              <w:widowControl/>
              <w:suppressLineNumbers w:val="0"/>
              <w:shd w:val="clear"/>
              <w:kinsoku/>
              <w:wordWrap/>
              <w:overflowPunct/>
              <w:topLinePunct w:val="0"/>
              <w:bidi w:val="0"/>
              <w:adjustRightInd/>
              <w:spacing w:line="500" w:lineRule="exact"/>
              <w:jc w:val="center"/>
              <w:textAlignment w:val="center"/>
              <w:outlineLvl w:val="9"/>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10</w:t>
            </w:r>
          </w:p>
        </w:tc>
        <w:tc>
          <w:tcPr>
            <w:tcW w:w="722" w:type="pct"/>
            <w:tcBorders>
              <w:top w:val="single" w:color="000000" w:sz="4" w:space="0"/>
              <w:left w:val="single" w:color="000000" w:sz="4" w:space="0"/>
              <w:bottom w:val="nil"/>
              <w:right w:val="single" w:color="000000" w:sz="4" w:space="0"/>
            </w:tcBorders>
            <w:noWrap w:val="0"/>
            <w:vAlign w:val="center"/>
          </w:tcPr>
          <w:p w14:paraId="3A983E6F">
            <w:pPr>
              <w:pageBreakBefore w:val="0"/>
              <w:shd w:val="clear"/>
              <w:kinsoku/>
              <w:wordWrap/>
              <w:overflowPunct/>
              <w:topLinePunct w:val="0"/>
              <w:bidi w:val="0"/>
              <w:adjustRightInd/>
              <w:spacing w:line="500" w:lineRule="exact"/>
              <w:ind w:firstLine="420" w:firstLineChars="200"/>
              <w:jc w:val="center"/>
              <w:outlineLvl w:val="9"/>
              <w:rPr>
                <w:rFonts w:hint="eastAsia" w:ascii="Times New Roman" w:hAnsi="Times New Roman" w:eastAsia="宋体" w:cs="Times New Roman"/>
                <w:color w:val="auto"/>
                <w:kern w:val="2"/>
                <w:sz w:val="21"/>
                <w:szCs w:val="22"/>
                <w:highlight w:val="none"/>
                <w:lang w:val="en-US" w:eastAsia="zh-CN" w:bidi="ar-SA"/>
              </w:rPr>
            </w:pPr>
          </w:p>
        </w:tc>
      </w:tr>
      <w:tr w14:paraId="1DC2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88" w:type="pct"/>
            <w:tcBorders>
              <w:top w:val="single" w:color="000000" w:sz="4" w:space="0"/>
              <w:left w:val="single" w:color="000000" w:sz="4" w:space="0"/>
              <w:bottom w:val="single" w:color="000000" w:sz="4" w:space="0"/>
              <w:right w:val="single" w:color="000000" w:sz="4" w:space="0"/>
            </w:tcBorders>
            <w:noWrap w:val="0"/>
            <w:vAlign w:val="center"/>
          </w:tcPr>
          <w:p w14:paraId="0E0B08E1">
            <w:pPr>
              <w:keepNext w:val="0"/>
              <w:keepLines w:val="0"/>
              <w:pageBreakBefore w:val="0"/>
              <w:widowControl/>
              <w:suppressLineNumbers w:val="0"/>
              <w:shd w:val="clear"/>
              <w:kinsoku/>
              <w:wordWrap/>
              <w:overflowPunct/>
              <w:topLinePunct w:val="0"/>
              <w:bidi w:val="0"/>
              <w:adjustRightInd/>
              <w:spacing w:line="500" w:lineRule="exact"/>
              <w:ind w:firstLine="420" w:firstLineChars="200"/>
              <w:jc w:val="both"/>
              <w:textAlignment w:val="center"/>
              <w:outlineLvl w:val="9"/>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综合评分</w:t>
            </w:r>
          </w:p>
        </w:tc>
        <w:tc>
          <w:tcPr>
            <w:tcW w:w="4011" w:type="pct"/>
            <w:gridSpan w:val="3"/>
            <w:tcBorders>
              <w:top w:val="single" w:color="000000" w:sz="4" w:space="0"/>
              <w:left w:val="single" w:color="000000" w:sz="4" w:space="0"/>
              <w:bottom w:val="single" w:color="000000" w:sz="4" w:space="0"/>
              <w:right w:val="single" w:color="000000" w:sz="4" w:space="0"/>
            </w:tcBorders>
            <w:noWrap w:val="0"/>
            <w:vAlign w:val="center"/>
          </w:tcPr>
          <w:p w14:paraId="3BD6A451">
            <w:pPr>
              <w:pageBreakBefore w:val="0"/>
              <w:shd w:val="clear"/>
              <w:kinsoku/>
              <w:wordWrap/>
              <w:overflowPunct/>
              <w:topLinePunct w:val="0"/>
              <w:bidi w:val="0"/>
              <w:adjustRightInd/>
              <w:spacing w:line="500" w:lineRule="exact"/>
              <w:ind w:firstLine="420" w:firstLineChars="200"/>
              <w:jc w:val="center"/>
              <w:outlineLvl w:val="9"/>
              <w:rPr>
                <w:rFonts w:hint="eastAsia" w:ascii="Times New Roman" w:hAnsi="Times New Roman" w:eastAsia="宋体" w:cs="Times New Roman"/>
                <w:color w:val="auto"/>
                <w:kern w:val="2"/>
                <w:sz w:val="21"/>
                <w:szCs w:val="22"/>
                <w:highlight w:val="none"/>
                <w:lang w:val="en-US" w:eastAsia="zh-CN" w:bidi="ar-SA"/>
              </w:rPr>
            </w:pPr>
          </w:p>
        </w:tc>
      </w:tr>
      <w:tr w14:paraId="2AA0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988" w:type="pct"/>
            <w:tcBorders>
              <w:top w:val="single" w:color="000000" w:sz="4" w:space="0"/>
              <w:left w:val="single" w:color="000000" w:sz="4" w:space="0"/>
              <w:bottom w:val="single" w:color="000000" w:sz="4" w:space="0"/>
              <w:right w:val="single" w:color="000000" w:sz="4" w:space="0"/>
            </w:tcBorders>
            <w:noWrap w:val="0"/>
            <w:vAlign w:val="center"/>
          </w:tcPr>
          <w:p w14:paraId="4F3EB94A">
            <w:pPr>
              <w:keepNext w:val="0"/>
              <w:keepLines w:val="0"/>
              <w:pageBreakBefore w:val="0"/>
              <w:widowControl/>
              <w:suppressLineNumbers w:val="0"/>
              <w:shd w:val="clear"/>
              <w:kinsoku/>
              <w:wordWrap/>
              <w:overflowPunct/>
              <w:topLinePunct w:val="0"/>
              <w:bidi w:val="0"/>
              <w:adjustRightInd/>
              <w:spacing w:line="500" w:lineRule="exact"/>
              <w:ind w:firstLine="420" w:firstLineChars="200"/>
              <w:jc w:val="both"/>
              <w:textAlignment w:val="center"/>
              <w:outlineLvl w:val="9"/>
              <w:rPr>
                <w:rFonts w:hint="eastAsia"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宋体" w:cs="Times New Roman"/>
                <w:color w:val="auto"/>
                <w:kern w:val="2"/>
                <w:sz w:val="21"/>
                <w:szCs w:val="22"/>
                <w:highlight w:val="none"/>
                <w:lang w:val="en-US" w:eastAsia="zh-CN" w:bidi="ar-SA"/>
              </w:rPr>
              <w:t>评估意见</w:t>
            </w:r>
          </w:p>
        </w:tc>
        <w:tc>
          <w:tcPr>
            <w:tcW w:w="4011" w:type="pct"/>
            <w:gridSpan w:val="3"/>
            <w:tcBorders>
              <w:top w:val="single" w:color="000000" w:sz="4" w:space="0"/>
              <w:left w:val="single" w:color="000000" w:sz="4" w:space="0"/>
              <w:bottom w:val="single" w:color="000000" w:sz="4" w:space="0"/>
              <w:right w:val="single" w:color="000000" w:sz="4" w:space="0"/>
            </w:tcBorders>
            <w:noWrap w:val="0"/>
            <w:vAlign w:val="center"/>
          </w:tcPr>
          <w:p w14:paraId="02F8480E">
            <w:pPr>
              <w:pageBreakBefore w:val="0"/>
              <w:shd w:val="clear"/>
              <w:kinsoku/>
              <w:wordWrap/>
              <w:overflowPunct/>
              <w:topLinePunct w:val="0"/>
              <w:bidi w:val="0"/>
              <w:adjustRightInd/>
              <w:spacing w:line="500" w:lineRule="exact"/>
              <w:ind w:firstLine="420" w:firstLineChars="200"/>
              <w:jc w:val="center"/>
              <w:outlineLvl w:val="9"/>
              <w:rPr>
                <w:rFonts w:hint="eastAsia" w:ascii="Times New Roman" w:hAnsi="Times New Roman" w:eastAsia="宋体" w:cs="Times New Roman"/>
                <w:color w:val="auto"/>
                <w:kern w:val="2"/>
                <w:sz w:val="21"/>
                <w:szCs w:val="22"/>
                <w:highlight w:val="none"/>
                <w:lang w:val="en-US" w:eastAsia="zh-CN" w:bidi="ar-SA"/>
              </w:rPr>
            </w:pPr>
          </w:p>
        </w:tc>
      </w:tr>
    </w:tbl>
    <w:p w14:paraId="47095772">
      <w:pPr>
        <w:shd w:val="clear"/>
        <w:rPr>
          <w:rFonts w:hint="eastAsia" w:ascii="宋体" w:hAnsi="宋体" w:cs="宋体"/>
          <w:b/>
          <w:color w:val="auto"/>
          <w:sz w:val="36"/>
          <w:szCs w:val="36"/>
          <w:highlight w:val="none"/>
        </w:rPr>
      </w:pPr>
    </w:p>
    <w:p w14:paraId="1F8AEC58">
      <w:pPr>
        <w:shd w:val="clea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703316BA">
      <w:pPr>
        <w:shd w:val="clear"/>
        <w:spacing w:line="440" w:lineRule="exact"/>
        <w:jc w:val="center"/>
        <w:outlineLvl w:val="0"/>
        <w:rPr>
          <w:rFonts w:ascii="宋体" w:hAnsi="宋体" w:cs="宋体"/>
          <w:b/>
          <w:color w:val="auto"/>
          <w:sz w:val="36"/>
          <w:szCs w:val="36"/>
          <w:highlight w:val="none"/>
        </w:rPr>
      </w:pPr>
      <w:bookmarkStart w:id="110" w:name="_Toc4838"/>
      <w:r>
        <w:rPr>
          <w:rFonts w:hint="eastAsia" w:ascii="宋体" w:hAnsi="宋体" w:cs="宋体"/>
          <w:b/>
          <w:color w:val="auto"/>
          <w:sz w:val="36"/>
          <w:szCs w:val="36"/>
          <w:highlight w:val="none"/>
        </w:rPr>
        <w:t>第四章</w:t>
      </w:r>
      <w:r>
        <w:rPr>
          <w:rFonts w:hint="eastAsia" w:ascii="宋体" w:hAnsi="宋体" w:cs="宋体"/>
          <w:color w:val="auto"/>
          <w:sz w:val="36"/>
          <w:szCs w:val="36"/>
          <w:highlight w:val="none"/>
        </w:rPr>
        <w:t xml:space="preserve"> </w:t>
      </w:r>
      <w:r>
        <w:rPr>
          <w:rFonts w:hint="eastAsia" w:ascii="宋体" w:hAnsi="宋体" w:cs="宋体"/>
          <w:b/>
          <w:color w:val="auto"/>
          <w:sz w:val="36"/>
          <w:szCs w:val="36"/>
          <w:highlight w:val="none"/>
        </w:rPr>
        <w:t>项目需求</w:t>
      </w:r>
      <w:bookmarkEnd w:id="109"/>
      <w:bookmarkEnd w:id="110"/>
    </w:p>
    <w:p w14:paraId="3598EFA2">
      <w:pPr>
        <w:shd w:val="clea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一、</w:t>
      </w:r>
      <w:r>
        <w:rPr>
          <w:rFonts w:hint="eastAsia" w:ascii="宋体" w:hAnsi="宋体" w:cs="宋体"/>
          <w:b/>
          <w:bCs/>
          <w:color w:val="auto"/>
          <w:szCs w:val="21"/>
          <w:highlight w:val="none"/>
        </w:rPr>
        <w:t>GZ627地块项目基本情况：</w:t>
      </w:r>
    </w:p>
    <w:p w14:paraId="5C17F0E6">
      <w:pPr>
        <w:pageBreakBefore w:val="0"/>
        <w:widowControl w:val="0"/>
        <w:shd w:val="clear"/>
        <w:kinsoku/>
        <w:wordWrap/>
        <w:overflowPunct/>
        <w:topLinePunct w:val="0"/>
        <w:bidi w:val="0"/>
        <w:adjustRightInd/>
        <w:spacing w:before="0" w:after="0" w:afterLines="0" w:line="360" w:lineRule="auto"/>
        <w:ind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项目地点和土地四至：GZ627地块位于【扬州市蒋王西片区】，四至为【东临规划七里沟路，南至规划汇博路，西至现状空地，北至规划横沟路】。界址点坐标最终以《国有建设用地使用权出让合同》附件之《出让宗地界址图》为准。</w:t>
      </w:r>
    </w:p>
    <w:p w14:paraId="3D529D5C">
      <w:pPr>
        <w:pageBreakBefore w:val="0"/>
        <w:widowControl w:val="0"/>
        <w:shd w:val="clear"/>
        <w:kinsoku/>
        <w:wordWrap/>
        <w:overflowPunct/>
        <w:topLinePunct w:val="0"/>
        <w:bidi w:val="0"/>
        <w:adjustRightInd/>
        <w:spacing w:before="0" w:after="0" w:afterLines="0" w:line="360" w:lineRule="auto"/>
        <w:ind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（二）项目名称和用地性质：</w:t>
      </w:r>
      <w:r>
        <w:rPr>
          <w:rFonts w:hint="eastAsia" w:ascii="宋体" w:hAnsi="宋体" w:cs="宋体"/>
          <w:color w:val="auto"/>
          <w:kern w:val="0"/>
          <w:sz w:val="21"/>
          <w:szCs w:val="21"/>
          <w:highlight w:val="none"/>
          <w:lang w:val="en-US" w:eastAsia="zh-CN" w:bidi="ar-SA"/>
        </w:rPr>
        <w:t>GZ627地块房地产开发项目营销代理服务</w:t>
      </w:r>
      <w:r>
        <w:rPr>
          <w:rFonts w:hint="eastAsia" w:ascii="宋体" w:hAnsi="宋体" w:eastAsia="宋体" w:cs="宋体"/>
          <w:color w:val="auto"/>
          <w:kern w:val="0"/>
          <w:sz w:val="21"/>
          <w:szCs w:val="21"/>
          <w:highlight w:val="none"/>
          <w:lang w:val="en-US" w:eastAsia="zh-CN" w:bidi="ar-SA"/>
        </w:rPr>
        <w:t>，用地性质为【居住用地】。</w:t>
      </w:r>
    </w:p>
    <w:p w14:paraId="3F250A50">
      <w:pPr>
        <w:pageBreakBefore w:val="0"/>
        <w:widowControl w:val="0"/>
        <w:shd w:val="clear"/>
        <w:kinsoku/>
        <w:wordWrap/>
        <w:overflowPunct/>
        <w:topLinePunct w:val="0"/>
        <w:bidi w:val="0"/>
        <w:adjustRightInd/>
        <w:spacing w:before="0" w:after="0" w:afterLines="0" w:line="360" w:lineRule="auto"/>
        <w:ind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（三）土地使用权获取方式：【2024年11月】通过【挂牌】方式取得。</w:t>
      </w:r>
    </w:p>
    <w:p w14:paraId="3D85F637">
      <w:pPr>
        <w:pageBreakBefore w:val="0"/>
        <w:widowControl w:val="0"/>
        <w:shd w:val="clear"/>
        <w:kinsoku/>
        <w:wordWrap/>
        <w:overflowPunct/>
        <w:topLinePunct w:val="0"/>
        <w:bidi w:val="0"/>
        <w:adjustRightInd/>
        <w:spacing w:before="0" w:after="0" w:afterLines="0" w:line="360" w:lineRule="auto"/>
        <w:ind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（四）地块面积：GZ627宗地面积约【62758】平方米，约【94.2】亩，其中建设用地面积约【62758】平方米。最终以国有土地使用证上登载的面积为准。</w:t>
      </w:r>
    </w:p>
    <w:p w14:paraId="596255B2">
      <w:pPr>
        <w:pageBreakBefore w:val="0"/>
        <w:widowControl w:val="0"/>
        <w:shd w:val="clear"/>
        <w:kinsoku/>
        <w:wordWrap/>
        <w:overflowPunct/>
        <w:topLinePunct w:val="0"/>
        <w:bidi w:val="0"/>
        <w:adjustRightInd/>
        <w:spacing w:before="0" w:after="0" w:afterLines="0" w:line="360" w:lineRule="auto"/>
        <w:ind w:right="0" w:firstLine="42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（五）主要规划建设指标：GZ627地块容积率为【1.0-1.02】，建筑密度为【不高于30%】，绿地率为【不低于35%】，详见地块规划设计条件书（最终以规划部门核准的指标为准）。</w:t>
      </w:r>
    </w:p>
    <w:p w14:paraId="65DA36E1">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22" w:firstLineChars="200"/>
        <w:jc w:val="both"/>
        <w:textAlignment w:val="auto"/>
        <w:rPr>
          <w:rFonts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二、服务期限</w:t>
      </w:r>
    </w:p>
    <w:p w14:paraId="37CD535D">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自甲方书面通知进场之日起</w:t>
      </w:r>
      <w:r>
        <w:rPr>
          <w:rFonts w:hint="eastAsia" w:ascii="宋体" w:hAnsi="宋体" w:eastAsia="宋体" w:cs="宋体"/>
          <w:color w:val="auto"/>
          <w:kern w:val="0"/>
          <w:sz w:val="21"/>
          <w:szCs w:val="21"/>
          <w:highlight w:val="none"/>
          <w:lang w:val="en-US" w:eastAsia="zh-CN" w:bidi="ar-SA"/>
        </w:rPr>
        <w:t>至本项目最后一批住宅集中交付后1个月截止（不超过36个月）。</w:t>
      </w:r>
    </w:p>
    <w:p w14:paraId="5500865C">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jc w:val="both"/>
        <w:textAlignment w:val="auto"/>
        <w:rPr>
          <w:rFonts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三、服务内容</w:t>
      </w:r>
    </w:p>
    <w:p w14:paraId="7CC7E92F">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包含但不限于以下主要列举：</w:t>
      </w:r>
    </w:p>
    <w:p w14:paraId="2D9BFA1A">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（一）营销计划管理，包括营销阶段性划分、战术部署及促销手法建议、整盘销售策略、价格策略制定、销售计划、开盘方案、示范区方案等；</w:t>
      </w:r>
    </w:p>
    <w:p w14:paraId="6D1575F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（二）市场研究分析：对区域市场、重点板块、主要竞品的销售情况进行动态跟踪，定期出具市场报告，提供市场策略建议；</w:t>
      </w:r>
    </w:p>
    <w:p w14:paraId="45284530">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（三）营销团队组建：根据乙方的管理经验，建立符合项目需求的营销团队、制定相关管理制度，并在销售期内完成甲方对乙方要求的销售工作；</w:t>
      </w:r>
    </w:p>
    <w:p w14:paraId="2E9EEA68">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（四）销售流程管理：包括认购、签约、按揭、退房、换房、加名减名、抵押登记、验收交房等；</w:t>
      </w:r>
    </w:p>
    <w:p w14:paraId="2EF1EB3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（五）销售数据管理：包括客户判定、客户信息管理、合同档案管理等日常工作；</w:t>
      </w:r>
    </w:p>
    <w:p w14:paraId="68E1C5D2">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（六）客户关系维护：乙方须在服务期内对销售工作进行风险控制管理，及有效处理服务期内客户涉及营销服务范围内的投诉并提升客户满意度；</w:t>
      </w:r>
    </w:p>
    <w:p w14:paraId="722BCA27">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（七）房屋交付工作：项目交付时，乙方须配合甲方完成本案的房屋交付工作。</w:t>
      </w:r>
    </w:p>
    <w:p w14:paraId="1FCB7534">
      <w:pPr>
        <w:pageBreakBefore w:val="0"/>
        <w:widowControl w:val="0"/>
        <w:shd w:val="clear"/>
        <w:kinsoku/>
        <w:wordWrap/>
        <w:overflowPunct/>
        <w:topLinePunct w:val="0"/>
        <w:bidi w:val="0"/>
        <w:adjustRightInd/>
        <w:spacing w:before="0" w:after="0" w:afterLines="0" w:line="360" w:lineRule="auto"/>
        <w:ind w:left="420" w:leftChars="200" w:right="0" w:firstLine="0" w:firstLineChars="0"/>
        <w:jc w:val="both"/>
        <w:textAlignment w:val="auto"/>
        <w:rPr>
          <w:rFonts w:hint="eastAsia"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四、服务要求</w:t>
      </w:r>
    </w:p>
    <w:p w14:paraId="4E26ED8F">
      <w:pPr>
        <w:pageBreakBefore w:val="0"/>
        <w:widowControl w:val="0"/>
        <w:shd w:val="clear"/>
        <w:kinsoku/>
        <w:wordWrap/>
        <w:overflowPunct/>
        <w:topLinePunct w:val="0"/>
        <w:bidi w:val="0"/>
        <w:adjustRightInd/>
        <w:spacing w:before="0" w:after="0" w:afterLines="0" w:line="360" w:lineRule="auto"/>
        <w:ind w:right="0" w:firstLine="428" w:firstLineChars="200"/>
        <w:jc w:val="both"/>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自接到甲方通知5日内乙方派驻首批营销团队，首批营销团队到岗后15日内将项目整盘营销策划管理及推售方案提交甲方确认（包括项目首次开盘销售计划）</w:t>
      </w:r>
      <w:r>
        <w:rPr>
          <w:rFonts w:hint="eastAsia" w:ascii="宋体" w:hAnsi="宋体" w:eastAsia="宋体" w:cs="宋体"/>
          <w:color w:val="auto"/>
          <w:spacing w:val="-3"/>
          <w:kern w:val="2"/>
          <w:sz w:val="21"/>
          <w:szCs w:val="21"/>
          <w:highlight w:val="none"/>
          <w:lang w:val="en-US" w:eastAsia="zh-CN" w:bidi="ar-SA"/>
        </w:rPr>
        <w:t>，</w:t>
      </w:r>
      <w:r>
        <w:rPr>
          <w:rFonts w:hint="eastAsia" w:ascii="宋体" w:hAnsi="宋体" w:eastAsia="宋体" w:cs="宋体"/>
          <w:color w:val="auto"/>
          <w:spacing w:val="2"/>
          <w:kern w:val="2"/>
          <w:sz w:val="21"/>
          <w:szCs w:val="21"/>
          <w:highlight w:val="none"/>
          <w:lang w:val="en-US" w:eastAsia="zh-CN" w:bidi="ar-SA"/>
        </w:rPr>
        <w:t>作为项目服务期内销售考核制定的参考依据。</w:t>
      </w:r>
    </w:p>
    <w:p w14:paraId="4CF03165">
      <w:pPr>
        <w:pageBreakBefore w:val="0"/>
        <w:widowControl w:val="0"/>
        <w:shd w:val="clear"/>
        <w:kinsoku/>
        <w:wordWrap/>
        <w:overflowPunct/>
        <w:topLinePunct w:val="0"/>
        <w:bidi w:val="0"/>
        <w:adjustRightInd/>
        <w:spacing w:before="0" w:after="0" w:afterLines="0" w:line="360" w:lineRule="auto"/>
        <w:ind w:right="0" w:firstLine="428" w:firstLineChars="200"/>
        <w:jc w:val="both"/>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（一）本项目分期销售，预计项目在取得施工许可证（注：如项目停滞，则须按实际情况约定开工参照节点）后【6】个月内具备领取预售许可证的前置条件，具体开盘时间以甲方正式确认的开盘方案为准。</w:t>
      </w:r>
    </w:p>
    <w:p w14:paraId="03124399">
      <w:pPr>
        <w:pageBreakBefore w:val="0"/>
        <w:widowControl w:val="0"/>
        <w:shd w:val="clear"/>
        <w:kinsoku/>
        <w:wordWrap/>
        <w:overflowPunct/>
        <w:topLinePunct w:val="0"/>
        <w:bidi w:val="0"/>
        <w:adjustRightInd/>
        <w:spacing w:before="0" w:after="0" w:afterLines="0" w:line="360" w:lineRule="auto"/>
        <w:ind w:right="0" w:firstLine="428" w:firstLineChars="200"/>
        <w:jc w:val="both"/>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（二）项目首开前【30】日，乙方应结合全盘销售计划提交详细的首开销售计划、销售平均底价、销售折扣政策，经双方确认后作为考核依据，该首开销售计划作为合同附件，与本合同具备等同法律效力。</w:t>
      </w:r>
    </w:p>
    <w:p w14:paraId="7031FB38">
      <w:pPr>
        <w:pageBreakBefore w:val="0"/>
        <w:widowControl w:val="0"/>
        <w:shd w:val="clear"/>
        <w:kinsoku/>
        <w:wordWrap/>
        <w:overflowPunct/>
        <w:topLinePunct w:val="0"/>
        <w:bidi w:val="0"/>
        <w:adjustRightInd/>
        <w:spacing w:before="0" w:after="0" w:afterLines="0" w:line="360" w:lineRule="auto"/>
        <w:ind w:right="0" w:firstLine="428" w:firstLineChars="200"/>
        <w:jc w:val="both"/>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kern w:val="2"/>
          <w:sz w:val="21"/>
          <w:szCs w:val="21"/>
          <w:highlight w:val="none"/>
          <w:lang w:val="en-US" w:eastAsia="zh-CN" w:bidi="ar-SA"/>
        </w:rPr>
        <w:t>（三）乙方可根据上一批次销售情况制定后续批次详细销售计划,并在每批次销售前【15】日提交甲方签字确认，作为后续批次的考核依据。</w:t>
      </w:r>
    </w:p>
    <w:p w14:paraId="0408F068">
      <w:pPr>
        <w:pStyle w:val="166"/>
        <w:pageBreakBefore w:val="0"/>
        <w:shd w:val="clear"/>
        <w:tabs>
          <w:tab w:val="left" w:pos="1824"/>
        </w:tabs>
        <w:kinsoku/>
        <w:wordWrap/>
        <w:overflowPunct/>
        <w:topLinePunct w:val="0"/>
        <w:bidi w:val="0"/>
        <w:adjustRightInd/>
        <w:spacing w:line="500" w:lineRule="exact"/>
        <w:ind w:left="0" w:firstLine="428" w:firstLineChars="200"/>
        <w:outlineLvl w:val="9"/>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lang w:val="en-US" w:eastAsia="zh-CN"/>
        </w:rPr>
        <w:t>四</w:t>
      </w:r>
      <w:r>
        <w:rPr>
          <w:rFonts w:hint="eastAsia" w:ascii="宋体" w:hAnsi="宋体" w:eastAsia="宋体" w:cs="宋体"/>
          <w:color w:val="auto"/>
          <w:spacing w:val="2"/>
          <w:highlight w:val="none"/>
          <w:lang w:eastAsia="zh-CN"/>
        </w:rPr>
        <w:t>）</w:t>
      </w:r>
      <w:r>
        <w:rPr>
          <w:rFonts w:hint="eastAsia" w:ascii="宋体" w:hAnsi="宋体" w:eastAsia="宋体" w:cs="宋体"/>
          <w:color w:val="auto"/>
          <w:spacing w:val="2"/>
          <w:highlight w:val="none"/>
          <w:lang w:val="en-US" w:eastAsia="zh-CN"/>
        </w:rPr>
        <w:t>乙方根据甲方下发的年度销售指标铺排工作，年度指标达成率作为考核评分的重要衡量标准。</w:t>
      </w:r>
    </w:p>
    <w:p w14:paraId="18864F63">
      <w:pPr>
        <w:keepNext w:val="0"/>
        <w:keepLines w:val="0"/>
        <w:pageBreakBefore w:val="0"/>
        <w:widowControl w:val="0"/>
        <w:shd w:val="clear"/>
        <w:tabs>
          <w:tab w:val="left" w:pos="1824"/>
        </w:tabs>
        <w:kinsoku/>
        <w:wordWrap/>
        <w:overflowPunct/>
        <w:topLinePunct w:val="0"/>
        <w:autoSpaceDE/>
        <w:autoSpaceDN/>
        <w:bidi w:val="0"/>
        <w:adjustRightInd/>
        <w:snapToGrid/>
        <w:spacing w:line="360" w:lineRule="auto"/>
        <w:ind w:firstLine="422" w:firstLineChars="200"/>
        <w:jc w:val="both"/>
        <w:textAlignment w:val="auto"/>
        <w:rPr>
          <w:rFonts w:ascii="宋体" w:hAnsi="宋体" w:eastAsia="宋体" w:cs="宋体"/>
          <w:b/>
          <w:color w:val="auto"/>
          <w:spacing w:val="0"/>
          <w:kern w:val="0"/>
          <w:sz w:val="21"/>
          <w:szCs w:val="21"/>
          <w:highlight w:val="none"/>
          <w:lang w:val="en-US" w:eastAsia="zh-CN" w:bidi="ar-SA"/>
        </w:rPr>
      </w:pPr>
      <w:r>
        <w:rPr>
          <w:rFonts w:hint="eastAsia" w:ascii="宋体" w:hAnsi="宋体" w:eastAsia="宋体" w:cs="宋体"/>
          <w:b/>
          <w:color w:val="auto"/>
          <w:spacing w:val="0"/>
          <w:kern w:val="0"/>
          <w:sz w:val="21"/>
          <w:szCs w:val="21"/>
          <w:highlight w:val="none"/>
          <w:lang w:val="en-US" w:eastAsia="zh-CN" w:bidi="ar-SA"/>
        </w:rPr>
        <w:t>五、营销人员配置要求</w:t>
      </w:r>
    </w:p>
    <w:tbl>
      <w:tblPr>
        <w:tblStyle w:val="34"/>
        <w:tblW w:w="5057" w:type="pct"/>
        <w:tblInd w:w="0" w:type="dxa"/>
        <w:tblLayout w:type="fixed"/>
        <w:tblCellMar>
          <w:top w:w="0" w:type="dxa"/>
          <w:left w:w="0" w:type="dxa"/>
          <w:bottom w:w="0" w:type="dxa"/>
          <w:right w:w="0" w:type="dxa"/>
        </w:tblCellMar>
      </w:tblPr>
      <w:tblGrid>
        <w:gridCol w:w="2088"/>
        <w:gridCol w:w="2038"/>
        <w:gridCol w:w="1261"/>
        <w:gridCol w:w="4267"/>
      </w:tblGrid>
      <w:tr w14:paraId="5AADD249">
        <w:tblPrEx>
          <w:tblCellMar>
            <w:top w:w="0" w:type="dxa"/>
            <w:left w:w="0" w:type="dxa"/>
            <w:bottom w:w="0" w:type="dxa"/>
            <w:right w:w="0" w:type="dxa"/>
          </w:tblCellMar>
        </w:tblPrEx>
        <w:trPr>
          <w:trHeight w:val="390" w:hRule="atLeast"/>
        </w:trPr>
        <w:tc>
          <w:tcPr>
            <w:tcW w:w="5000"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8C089">
            <w:pPr>
              <w:shd w:val="clea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营销人员配置表</w:t>
            </w:r>
          </w:p>
        </w:tc>
      </w:tr>
      <w:tr w14:paraId="0928930F">
        <w:tblPrEx>
          <w:tblCellMar>
            <w:top w:w="0" w:type="dxa"/>
            <w:left w:w="0" w:type="dxa"/>
            <w:bottom w:w="0" w:type="dxa"/>
            <w:right w:w="0" w:type="dxa"/>
          </w:tblCellMar>
        </w:tblPrEx>
        <w:trPr>
          <w:trHeight w:val="390" w:hRule="atLeast"/>
        </w:trPr>
        <w:tc>
          <w:tcPr>
            <w:tcW w:w="10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3FC47C">
            <w:pPr>
              <w:shd w:val="clea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类别</w:t>
            </w:r>
          </w:p>
        </w:tc>
        <w:tc>
          <w:tcPr>
            <w:tcW w:w="10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C9F34B">
            <w:pPr>
              <w:shd w:val="clea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6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988BD68">
            <w:pPr>
              <w:shd w:val="clea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人数</w:t>
            </w:r>
          </w:p>
        </w:tc>
        <w:tc>
          <w:tcPr>
            <w:tcW w:w="22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731454">
            <w:pPr>
              <w:shd w:val="clea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692778C">
        <w:tblPrEx>
          <w:tblCellMar>
            <w:top w:w="0" w:type="dxa"/>
            <w:left w:w="0" w:type="dxa"/>
            <w:bottom w:w="0" w:type="dxa"/>
            <w:right w:w="0" w:type="dxa"/>
          </w:tblCellMar>
        </w:tblPrEx>
        <w:trPr>
          <w:trHeight w:val="390" w:hRule="atLeast"/>
        </w:trPr>
        <w:tc>
          <w:tcPr>
            <w:tcW w:w="1081"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BBD5940">
            <w:pPr>
              <w:shd w:val="clea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销售端</w:t>
            </w:r>
          </w:p>
        </w:tc>
        <w:tc>
          <w:tcPr>
            <w:tcW w:w="10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CD0CFB9">
            <w:pPr>
              <w:shd w:val="clea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经理</w:t>
            </w:r>
          </w:p>
        </w:tc>
        <w:tc>
          <w:tcPr>
            <w:tcW w:w="12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A7EF8F5">
            <w:pPr>
              <w:keepNext w:val="0"/>
              <w:keepLines w:val="0"/>
              <w:widowControl/>
              <w:suppressLineNumbers w:val="0"/>
              <w:shd w:val="clear"/>
              <w:jc w:val="center"/>
              <w:textAlignment w:val="center"/>
              <w:outlineLvl w:val="9"/>
              <w:rPr>
                <w:rFonts w:hint="default" w:ascii="宋体" w:hAnsi="宋体" w:eastAsia="宋体" w:cs="宋体"/>
                <w:color w:val="auto"/>
                <w:sz w:val="21"/>
                <w:szCs w:val="21"/>
                <w:highlight w:val="none"/>
                <w:lang w:val="en-US" w:eastAsia="zh-CN"/>
              </w:rPr>
            </w:pPr>
            <w:r>
              <w:rPr>
                <w:rFonts w:hint="eastAsia" w:ascii="Times New Roman" w:hAnsi="Times New Roman" w:eastAsia="宋体" w:cs="宋体"/>
                <w:i w:val="0"/>
                <w:iCs w:val="0"/>
                <w:color w:val="auto"/>
                <w:kern w:val="0"/>
                <w:sz w:val="24"/>
                <w:szCs w:val="24"/>
                <w:highlight w:val="none"/>
                <w:u w:val="none"/>
                <w:lang w:val="en-US" w:eastAsia="zh-CN" w:bidi="ar"/>
              </w:rPr>
              <w:t>1</w:t>
            </w:r>
          </w:p>
        </w:tc>
        <w:tc>
          <w:tcPr>
            <w:tcW w:w="22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E32FEC">
            <w:pPr>
              <w:shd w:val="clea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w:t>
            </w:r>
          </w:p>
        </w:tc>
      </w:tr>
      <w:tr w14:paraId="4D84E44F">
        <w:tblPrEx>
          <w:tblCellMar>
            <w:top w:w="0" w:type="dxa"/>
            <w:left w:w="0" w:type="dxa"/>
            <w:bottom w:w="0" w:type="dxa"/>
            <w:right w:w="0" w:type="dxa"/>
          </w:tblCellMar>
        </w:tblPrEx>
        <w:trPr>
          <w:trHeight w:val="390" w:hRule="atLeast"/>
        </w:trPr>
        <w:tc>
          <w:tcPr>
            <w:tcW w:w="1081" w:type="pct"/>
            <w:vMerge w:val="continue"/>
            <w:tcBorders>
              <w:left w:val="single" w:color="000000" w:sz="4" w:space="0"/>
              <w:right w:val="single" w:color="000000" w:sz="4" w:space="0"/>
            </w:tcBorders>
            <w:noWrap w:val="0"/>
            <w:tcMar>
              <w:top w:w="15" w:type="dxa"/>
              <w:left w:w="15" w:type="dxa"/>
              <w:right w:w="15" w:type="dxa"/>
            </w:tcMar>
            <w:vAlign w:val="center"/>
          </w:tcPr>
          <w:p w14:paraId="3454F224">
            <w:pPr>
              <w:shd w:val="clear"/>
              <w:spacing w:line="360" w:lineRule="auto"/>
              <w:jc w:val="center"/>
              <w:rPr>
                <w:rFonts w:hint="eastAsia" w:ascii="宋体" w:hAnsi="宋体" w:eastAsia="宋体" w:cs="宋体"/>
                <w:color w:val="auto"/>
                <w:sz w:val="21"/>
                <w:szCs w:val="21"/>
                <w:highlight w:val="none"/>
              </w:rPr>
            </w:pPr>
          </w:p>
        </w:tc>
        <w:tc>
          <w:tcPr>
            <w:tcW w:w="10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1FD791">
            <w:pPr>
              <w:shd w:val="clea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销售经理</w:t>
            </w:r>
          </w:p>
        </w:tc>
        <w:tc>
          <w:tcPr>
            <w:tcW w:w="12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6BF429">
            <w:pPr>
              <w:keepNext w:val="0"/>
              <w:keepLines w:val="0"/>
              <w:widowControl/>
              <w:suppressLineNumbers w:val="0"/>
              <w:shd w:val="clear"/>
              <w:jc w:val="center"/>
              <w:textAlignment w:val="center"/>
              <w:outlineLvl w:val="9"/>
              <w:rPr>
                <w:rFonts w:hint="default" w:ascii="宋体" w:hAnsi="宋体" w:eastAsia="宋体" w:cs="宋体"/>
                <w:color w:val="auto"/>
                <w:sz w:val="21"/>
                <w:szCs w:val="21"/>
                <w:highlight w:val="none"/>
                <w:lang w:val="en-US" w:eastAsia="zh-CN"/>
              </w:rPr>
            </w:pPr>
            <w:r>
              <w:rPr>
                <w:rFonts w:hint="eastAsia" w:ascii="宋体" w:hAnsi="宋体" w:cs="宋体"/>
                <w:i w:val="0"/>
                <w:iCs w:val="0"/>
                <w:color w:val="auto"/>
                <w:sz w:val="24"/>
                <w:szCs w:val="24"/>
                <w:highlight w:val="none"/>
                <w:u w:val="none"/>
                <w:lang w:val="en-US" w:eastAsia="zh-CN"/>
              </w:rPr>
              <w:t>1</w:t>
            </w:r>
          </w:p>
        </w:tc>
        <w:tc>
          <w:tcPr>
            <w:tcW w:w="22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5D54499">
            <w:pPr>
              <w:shd w:val="clear"/>
              <w:spacing w:line="360" w:lineRule="auto"/>
              <w:rPr>
                <w:rFonts w:ascii="宋体" w:hAnsi="宋体" w:eastAsia="宋体" w:cs="宋体"/>
                <w:color w:val="auto"/>
                <w:sz w:val="21"/>
                <w:szCs w:val="21"/>
                <w:highlight w:val="none"/>
              </w:rPr>
            </w:pPr>
          </w:p>
        </w:tc>
      </w:tr>
      <w:tr w14:paraId="677F96D7">
        <w:tblPrEx>
          <w:tblCellMar>
            <w:top w:w="0" w:type="dxa"/>
            <w:left w:w="0" w:type="dxa"/>
            <w:bottom w:w="0" w:type="dxa"/>
            <w:right w:w="0" w:type="dxa"/>
          </w:tblCellMar>
        </w:tblPrEx>
        <w:trPr>
          <w:trHeight w:val="390" w:hRule="atLeast"/>
        </w:trPr>
        <w:tc>
          <w:tcPr>
            <w:tcW w:w="1081" w:type="pct"/>
            <w:vMerge w:val="continue"/>
            <w:tcBorders>
              <w:left w:val="single" w:color="000000" w:sz="4" w:space="0"/>
              <w:right w:val="single" w:color="000000" w:sz="4" w:space="0"/>
            </w:tcBorders>
            <w:noWrap w:val="0"/>
            <w:tcMar>
              <w:top w:w="15" w:type="dxa"/>
              <w:left w:w="15" w:type="dxa"/>
              <w:right w:w="15" w:type="dxa"/>
            </w:tcMar>
            <w:vAlign w:val="center"/>
          </w:tcPr>
          <w:p w14:paraId="78227ADD">
            <w:pPr>
              <w:shd w:val="clear"/>
              <w:spacing w:line="360" w:lineRule="auto"/>
              <w:jc w:val="center"/>
              <w:rPr>
                <w:rFonts w:ascii="宋体" w:hAnsi="宋体" w:eastAsia="宋体" w:cs="宋体"/>
                <w:color w:val="auto"/>
                <w:sz w:val="21"/>
                <w:szCs w:val="21"/>
                <w:highlight w:val="none"/>
              </w:rPr>
            </w:pPr>
          </w:p>
        </w:tc>
        <w:tc>
          <w:tcPr>
            <w:tcW w:w="10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9E88CD">
            <w:pPr>
              <w:widowControl/>
              <w:shd w:val="clear"/>
              <w:spacing w:line="360" w:lineRule="auto"/>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销售人员</w:t>
            </w:r>
          </w:p>
        </w:tc>
        <w:tc>
          <w:tcPr>
            <w:tcW w:w="12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5A8BE1">
            <w:pPr>
              <w:keepNext w:val="0"/>
              <w:keepLines w:val="0"/>
              <w:widowControl/>
              <w:suppressLineNumbers w:val="0"/>
              <w:shd w:val="clear"/>
              <w:jc w:val="center"/>
              <w:textAlignment w:val="center"/>
              <w:outlineLvl w:val="9"/>
              <w:rPr>
                <w:rFonts w:hint="default" w:ascii="宋体" w:hAnsi="宋体" w:eastAsia="宋体" w:cs="宋体"/>
                <w:color w:val="auto"/>
                <w:sz w:val="21"/>
                <w:szCs w:val="21"/>
                <w:highlight w:val="none"/>
                <w:lang w:val="en-US" w:eastAsia="zh-CN"/>
              </w:rPr>
            </w:pPr>
            <w:r>
              <w:rPr>
                <w:rFonts w:hint="eastAsia" w:ascii="宋体" w:hAnsi="宋体" w:cs="宋体"/>
                <w:i w:val="0"/>
                <w:iCs w:val="0"/>
                <w:color w:val="auto"/>
                <w:sz w:val="24"/>
                <w:szCs w:val="24"/>
                <w:highlight w:val="none"/>
                <w:u w:val="none"/>
                <w:lang w:val="en-US" w:eastAsia="zh-CN"/>
              </w:rPr>
              <w:t>7</w:t>
            </w:r>
          </w:p>
        </w:tc>
        <w:tc>
          <w:tcPr>
            <w:tcW w:w="22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DE7F733">
            <w:pPr>
              <w:shd w:val="clear"/>
              <w:spacing w:line="360" w:lineRule="auto"/>
              <w:jc w:val="center"/>
              <w:rPr>
                <w:rFonts w:ascii="宋体" w:hAnsi="宋体" w:eastAsia="宋体" w:cs="宋体"/>
                <w:color w:val="auto"/>
                <w:sz w:val="21"/>
                <w:szCs w:val="21"/>
                <w:highlight w:val="none"/>
              </w:rPr>
            </w:pPr>
          </w:p>
        </w:tc>
      </w:tr>
      <w:tr w14:paraId="09287AED">
        <w:tblPrEx>
          <w:tblCellMar>
            <w:top w:w="0" w:type="dxa"/>
            <w:left w:w="0" w:type="dxa"/>
            <w:bottom w:w="0" w:type="dxa"/>
            <w:right w:w="0" w:type="dxa"/>
          </w:tblCellMar>
        </w:tblPrEx>
        <w:trPr>
          <w:trHeight w:val="390" w:hRule="atLeast"/>
        </w:trPr>
        <w:tc>
          <w:tcPr>
            <w:tcW w:w="1081" w:type="pct"/>
            <w:tcBorders>
              <w:top w:val="single" w:color="000000" w:sz="4" w:space="0"/>
              <w:left w:val="single" w:color="000000" w:sz="4" w:space="0"/>
              <w:right w:val="single" w:color="000000" w:sz="4" w:space="0"/>
            </w:tcBorders>
            <w:noWrap w:val="0"/>
            <w:tcMar>
              <w:top w:w="15" w:type="dxa"/>
              <w:left w:w="15" w:type="dxa"/>
              <w:right w:w="15" w:type="dxa"/>
            </w:tcMar>
            <w:vAlign w:val="center"/>
          </w:tcPr>
          <w:p w14:paraId="693BF256">
            <w:pPr>
              <w:shd w:val="clea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后台</w:t>
            </w:r>
          </w:p>
        </w:tc>
        <w:tc>
          <w:tcPr>
            <w:tcW w:w="10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9152AA">
            <w:pPr>
              <w:shd w:val="clea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销控主管</w:t>
            </w:r>
          </w:p>
        </w:tc>
        <w:tc>
          <w:tcPr>
            <w:tcW w:w="12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2F4EF8">
            <w:pPr>
              <w:keepNext w:val="0"/>
              <w:keepLines w:val="0"/>
              <w:widowControl/>
              <w:suppressLineNumbers w:val="0"/>
              <w:shd w:val="clear"/>
              <w:jc w:val="center"/>
              <w:textAlignment w:val="center"/>
              <w:outlineLvl w:val="9"/>
              <w:rPr>
                <w:rFonts w:hint="default" w:ascii="宋体" w:hAnsi="宋体" w:eastAsia="宋体" w:cs="宋体"/>
                <w:color w:val="auto"/>
                <w:sz w:val="21"/>
                <w:szCs w:val="21"/>
                <w:highlight w:val="none"/>
                <w:lang w:val="en-US" w:eastAsia="zh-CN"/>
              </w:rPr>
            </w:pPr>
            <w:r>
              <w:rPr>
                <w:rFonts w:hint="eastAsia" w:ascii="Times New Roman" w:hAnsi="Times New Roman" w:eastAsia="宋体" w:cs="宋体"/>
                <w:i w:val="0"/>
                <w:iCs w:val="0"/>
                <w:color w:val="auto"/>
                <w:kern w:val="0"/>
                <w:sz w:val="24"/>
                <w:szCs w:val="24"/>
                <w:highlight w:val="none"/>
                <w:u w:val="none"/>
                <w:lang w:val="en-US" w:eastAsia="zh-CN" w:bidi="ar"/>
              </w:rPr>
              <w:t>1</w:t>
            </w:r>
          </w:p>
        </w:tc>
        <w:tc>
          <w:tcPr>
            <w:tcW w:w="22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9D57FF">
            <w:pPr>
              <w:shd w:val="clear"/>
              <w:spacing w:line="360" w:lineRule="auto"/>
              <w:jc w:val="center"/>
              <w:rPr>
                <w:rFonts w:ascii="宋体" w:hAnsi="宋体" w:eastAsia="宋体" w:cs="宋体"/>
                <w:color w:val="auto"/>
                <w:sz w:val="21"/>
                <w:szCs w:val="21"/>
                <w:highlight w:val="none"/>
              </w:rPr>
            </w:pPr>
          </w:p>
        </w:tc>
      </w:tr>
      <w:tr w14:paraId="42007013">
        <w:tblPrEx>
          <w:tblCellMar>
            <w:top w:w="0" w:type="dxa"/>
            <w:left w:w="0" w:type="dxa"/>
            <w:bottom w:w="0" w:type="dxa"/>
            <w:right w:w="0" w:type="dxa"/>
          </w:tblCellMar>
        </w:tblPrEx>
        <w:trPr>
          <w:trHeight w:val="390" w:hRule="atLeast"/>
        </w:trPr>
        <w:tc>
          <w:tcPr>
            <w:tcW w:w="108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8DB66D">
            <w:pPr>
              <w:shd w:val="clea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合计</w:t>
            </w:r>
          </w:p>
        </w:tc>
        <w:tc>
          <w:tcPr>
            <w:tcW w:w="105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DF0BB6">
            <w:pPr>
              <w:shd w:val="clear"/>
              <w:spacing w:line="360" w:lineRule="auto"/>
              <w:jc w:val="center"/>
              <w:rPr>
                <w:rFonts w:ascii="宋体" w:hAnsi="宋体" w:eastAsia="宋体" w:cs="宋体"/>
                <w:b/>
                <w:bCs/>
                <w:color w:val="auto"/>
                <w:sz w:val="21"/>
                <w:szCs w:val="21"/>
                <w:highlight w:val="none"/>
              </w:rPr>
            </w:pPr>
          </w:p>
        </w:tc>
        <w:tc>
          <w:tcPr>
            <w:tcW w:w="65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F71F1D">
            <w:pPr>
              <w:shd w:val="clea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10</w:t>
            </w:r>
          </w:p>
        </w:tc>
        <w:tc>
          <w:tcPr>
            <w:tcW w:w="221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257096">
            <w:pPr>
              <w:shd w:val="clear"/>
              <w:spacing w:line="360" w:lineRule="auto"/>
              <w:jc w:val="center"/>
              <w:rPr>
                <w:rFonts w:ascii="宋体" w:hAnsi="宋体" w:eastAsia="宋体" w:cs="宋体"/>
                <w:b/>
                <w:bCs/>
                <w:color w:val="auto"/>
                <w:sz w:val="21"/>
                <w:szCs w:val="21"/>
                <w:highlight w:val="none"/>
              </w:rPr>
            </w:pPr>
          </w:p>
        </w:tc>
      </w:tr>
      <w:tr w14:paraId="23F6DF4A">
        <w:tblPrEx>
          <w:tblCellMar>
            <w:top w:w="0" w:type="dxa"/>
            <w:left w:w="0" w:type="dxa"/>
            <w:bottom w:w="0" w:type="dxa"/>
            <w:right w:w="0" w:type="dxa"/>
          </w:tblCellMar>
        </w:tblPrEx>
        <w:trPr>
          <w:trHeight w:val="390" w:hRule="atLeast"/>
        </w:trPr>
        <w:tc>
          <w:tcPr>
            <w:tcW w:w="5000"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F5CA9F">
            <w:pPr>
              <w:shd w:val="clear"/>
              <w:spacing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val="en-US" w:eastAsia="zh-CN"/>
              </w:rPr>
              <w:t>以上为项目营销人员配置要求，投标单位根据首次开盘前、首次开盘、持销期、尾盘等不同阶段进行调整，各阶段人员配置方案须征得甲方同意</w:t>
            </w:r>
            <w:r>
              <w:rPr>
                <w:rFonts w:hint="eastAsia" w:ascii="宋体" w:hAnsi="宋体" w:eastAsia="宋体" w:cs="宋体"/>
                <w:color w:val="auto"/>
                <w:sz w:val="21"/>
                <w:szCs w:val="21"/>
                <w:highlight w:val="none"/>
              </w:rPr>
              <w:t>。</w:t>
            </w:r>
          </w:p>
        </w:tc>
      </w:tr>
    </w:tbl>
    <w:p w14:paraId="40B64B21">
      <w:pPr>
        <w:shd w:val="clear"/>
        <w:rPr>
          <w:rFonts w:hint="eastAsia" w:ascii="宋体" w:hAnsi="宋体" w:cs="宋体"/>
          <w:color w:val="auto"/>
          <w:szCs w:val="21"/>
          <w:highlight w:val="none"/>
        </w:rPr>
      </w:pPr>
    </w:p>
    <w:p w14:paraId="5A1AD27E">
      <w:pPr>
        <w:shd w:val="clear"/>
        <w:rPr>
          <w:rFonts w:hint="eastAsia" w:ascii="宋体" w:hAnsi="宋体" w:cs="宋体"/>
          <w:color w:val="auto"/>
          <w:szCs w:val="21"/>
          <w:highlight w:val="none"/>
        </w:rPr>
      </w:pPr>
    </w:p>
    <w:p w14:paraId="6E0B8ED2">
      <w:pPr>
        <w:shd w:val="clear"/>
        <w:rPr>
          <w:rFonts w:ascii="宋体" w:hAnsi="宋体" w:cs="宋体"/>
          <w:color w:val="auto"/>
          <w:szCs w:val="21"/>
          <w:highlight w:val="none"/>
        </w:rPr>
      </w:pPr>
      <w:r>
        <w:rPr>
          <w:rFonts w:hint="eastAsia" w:ascii="宋体" w:hAnsi="宋体" w:cs="宋体"/>
          <w:color w:val="auto"/>
          <w:szCs w:val="21"/>
          <w:highlight w:val="none"/>
        </w:rPr>
        <w:br w:type="page"/>
      </w:r>
    </w:p>
    <w:bookmarkEnd w:id="37"/>
    <w:bookmarkEnd w:id="38"/>
    <w:bookmarkEnd w:id="39"/>
    <w:p w14:paraId="24753D64">
      <w:pPr>
        <w:pStyle w:val="2"/>
        <w:shd w:val="clear"/>
        <w:spacing w:after="340" w:line="480" w:lineRule="auto"/>
        <w:jc w:val="center"/>
        <w:rPr>
          <w:rFonts w:ascii="宋体" w:hAnsi="宋体"/>
          <w:color w:val="auto"/>
          <w:sz w:val="36"/>
          <w:highlight w:val="none"/>
        </w:rPr>
      </w:pPr>
      <w:bookmarkStart w:id="111" w:name="_Toc497133122"/>
      <w:bookmarkStart w:id="112" w:name="_Toc19189"/>
      <w:bookmarkStart w:id="113" w:name="_Toc22592"/>
      <w:r>
        <w:rPr>
          <w:rFonts w:hint="eastAsia" w:ascii="宋体" w:hAnsi="宋体"/>
          <w:color w:val="auto"/>
          <w:sz w:val="36"/>
          <w:highlight w:val="none"/>
        </w:rPr>
        <w:t>第五章 评标方法及评标标准</w:t>
      </w:r>
      <w:bookmarkEnd w:id="111"/>
      <w:bookmarkEnd w:id="112"/>
      <w:bookmarkEnd w:id="113"/>
    </w:p>
    <w:p w14:paraId="49F6BEE5">
      <w:pPr>
        <w:pStyle w:val="169"/>
        <w:shd w:val="clear"/>
        <w:spacing w:before="0" w:after="0"/>
        <w:ind w:firstLine="422" w:firstLineChars="200"/>
        <w:rPr>
          <w:rFonts w:ascii="宋体" w:hAnsi="宋体"/>
          <w:b/>
          <w:color w:val="auto"/>
          <w:kern w:val="2"/>
          <w:sz w:val="21"/>
          <w:szCs w:val="21"/>
          <w:highlight w:val="none"/>
        </w:rPr>
      </w:pPr>
      <w:r>
        <w:rPr>
          <w:rFonts w:hint="eastAsia" w:ascii="宋体" w:hAnsi="宋体"/>
          <w:b/>
          <w:color w:val="auto"/>
          <w:kern w:val="2"/>
          <w:sz w:val="21"/>
          <w:szCs w:val="21"/>
          <w:highlight w:val="none"/>
        </w:rPr>
        <w:t>一、评标方法</w:t>
      </w:r>
    </w:p>
    <w:p w14:paraId="3D4B4578">
      <w:pPr>
        <w:shd w:val="clea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本项目采用综合评</w:t>
      </w:r>
      <w:r>
        <w:rPr>
          <w:rFonts w:hint="eastAsia" w:ascii="宋体" w:hAnsi="宋体" w:cs="宋体"/>
          <w:color w:val="auto"/>
          <w:szCs w:val="21"/>
          <w:highlight w:val="none"/>
        </w:rPr>
        <w:t>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AEF21A8">
      <w:pPr>
        <w:pStyle w:val="169"/>
        <w:shd w:val="clear"/>
        <w:spacing w:before="0" w:after="0"/>
        <w:ind w:firstLine="422" w:firstLineChars="200"/>
        <w:rPr>
          <w:rFonts w:ascii="宋体" w:hAnsi="宋体"/>
          <w:b/>
          <w:color w:val="auto"/>
          <w:kern w:val="2"/>
          <w:sz w:val="21"/>
          <w:szCs w:val="21"/>
          <w:highlight w:val="none"/>
        </w:rPr>
      </w:pPr>
      <w:r>
        <w:rPr>
          <w:rFonts w:hint="eastAsia" w:ascii="宋体" w:hAnsi="宋体"/>
          <w:b/>
          <w:color w:val="auto"/>
          <w:kern w:val="2"/>
          <w:sz w:val="21"/>
          <w:szCs w:val="21"/>
          <w:highlight w:val="none"/>
        </w:rPr>
        <w:t>二、评标标准</w:t>
      </w:r>
    </w:p>
    <w:tbl>
      <w:tblPr>
        <w:tblStyle w:val="34"/>
        <w:tblW w:w="501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71"/>
        <w:gridCol w:w="8080"/>
      </w:tblGrid>
      <w:tr w14:paraId="75751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770" w:type="pct"/>
            <w:noWrap w:val="0"/>
            <w:vAlign w:val="center"/>
          </w:tcPr>
          <w:p w14:paraId="4C5B8231">
            <w:pPr>
              <w:keepNext w:val="0"/>
              <w:keepLines/>
              <w:pageBreakBefore w:val="0"/>
              <w:widowControl/>
              <w:shd w:val="clear"/>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 目</w:t>
            </w:r>
          </w:p>
        </w:tc>
        <w:tc>
          <w:tcPr>
            <w:tcW w:w="4229" w:type="pct"/>
            <w:noWrap w:val="0"/>
            <w:vAlign w:val="center"/>
          </w:tcPr>
          <w:p w14:paraId="09F85D0B">
            <w:pPr>
              <w:keepNext w:val="0"/>
              <w:keepLines/>
              <w:pageBreakBefore w:val="0"/>
              <w:widowControl/>
              <w:shd w:val="clear"/>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评分标准（100 分）</w:t>
            </w:r>
          </w:p>
        </w:tc>
      </w:tr>
      <w:tr w14:paraId="4D8F4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9" w:hRule="atLeast"/>
        </w:trPr>
        <w:tc>
          <w:tcPr>
            <w:tcW w:w="770" w:type="pct"/>
            <w:noWrap w:val="0"/>
            <w:vAlign w:val="center"/>
          </w:tcPr>
          <w:p w14:paraId="7F1D22AE">
            <w:pPr>
              <w:keepNext w:val="0"/>
              <w:keepLines/>
              <w:pageBreakBefore w:val="0"/>
              <w:widowControl/>
              <w:shd w:val="clear"/>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 格</w:t>
            </w:r>
          </w:p>
          <w:p w14:paraId="61188DD2">
            <w:pPr>
              <w:keepNext w:val="0"/>
              <w:keepLines/>
              <w:pageBreakBefore w:val="0"/>
              <w:widowControl/>
              <w:shd w:val="clear"/>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（20分）</w:t>
            </w:r>
          </w:p>
        </w:tc>
        <w:tc>
          <w:tcPr>
            <w:tcW w:w="4229" w:type="pct"/>
            <w:noWrap w:val="0"/>
            <w:vAlign w:val="center"/>
          </w:tcPr>
          <w:p w14:paraId="64368C2C">
            <w:pPr>
              <w:keepNext w:val="0"/>
              <w:keepLines/>
              <w:pageBreakBefore w:val="0"/>
              <w:widowControl/>
              <w:shd w:val="clear"/>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以满足招标文件要求的最低投标报价（费率）为评标基准价，得满分20分,其他报价得分＝（评标基准价/其他投标价）×20×100%（</w:t>
            </w:r>
            <w:r>
              <w:rPr>
                <w:rFonts w:hint="eastAsia" w:ascii="宋体" w:hAnsi="宋体" w:eastAsia="宋体" w:cs="宋体"/>
                <w:bCs/>
                <w:color w:val="auto"/>
                <w:sz w:val="21"/>
                <w:szCs w:val="21"/>
                <w:highlight w:val="none"/>
                <w:lang w:val="en-US" w:eastAsia="zh-CN"/>
              </w:rPr>
              <w:t>四舍五入，</w:t>
            </w:r>
            <w:r>
              <w:rPr>
                <w:rFonts w:hint="eastAsia" w:ascii="宋体" w:hAnsi="宋体" w:eastAsia="宋体" w:cs="宋体"/>
                <w:bCs/>
                <w:color w:val="auto"/>
                <w:sz w:val="21"/>
                <w:szCs w:val="21"/>
                <w:highlight w:val="none"/>
              </w:rPr>
              <w:t>保留两位小数）</w:t>
            </w:r>
          </w:p>
          <w:p w14:paraId="49722FEF">
            <w:pPr>
              <w:keepNext w:val="0"/>
              <w:keepLines/>
              <w:pageBreakBefore w:val="0"/>
              <w:widowControl/>
              <w:shd w:val="clear"/>
              <w:kinsoku/>
              <w:wordWrap/>
              <w:overflowPunct/>
              <w:topLinePunct w:val="0"/>
              <w:autoSpaceDE/>
              <w:autoSpaceDN/>
              <w:bidi w:val="0"/>
              <w:adjustRightInd/>
              <w:snapToGrid/>
              <w:spacing w:line="360" w:lineRule="auto"/>
              <w:ind w:right="0" w:righ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评审委员会认为供应商的报价明显低于其他通过符合性审查供应商的报价，有可能影响服务质量或者不能诚信履约的，应当要求其在评审现场合理的时间内提供书面说明，必要时提交相关证明材料；供应商不能证明其报价合理性的，评审委员会应当将其作为无效响应处理。</w:t>
            </w:r>
          </w:p>
        </w:tc>
      </w:tr>
      <w:tr w14:paraId="79291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471" w:type="dxa"/>
            <w:noWrap w:val="0"/>
            <w:vAlign w:val="center"/>
          </w:tcPr>
          <w:p w14:paraId="7CC42E5C">
            <w:pPr>
              <w:keepLines/>
              <w:widowControl/>
              <w:shd w:val="clear"/>
              <w:jc w:val="center"/>
              <w:rPr>
                <w:rFonts w:hint="eastAsia" w:ascii="宋体" w:hAnsi="宋体" w:cs="宋体"/>
                <w:color w:val="auto"/>
                <w:szCs w:val="21"/>
                <w:highlight w:val="none"/>
              </w:rPr>
            </w:pPr>
            <w:r>
              <w:rPr>
                <w:rFonts w:hint="eastAsia" w:ascii="宋体" w:hAnsi="宋体" w:cs="宋体"/>
                <w:color w:val="auto"/>
                <w:szCs w:val="21"/>
                <w:highlight w:val="none"/>
              </w:rPr>
              <w:t>服务方案</w:t>
            </w:r>
          </w:p>
          <w:p w14:paraId="53907930">
            <w:pPr>
              <w:keepLines/>
              <w:widowControl/>
              <w:shd w:val="clear"/>
              <w:jc w:val="center"/>
              <w:rPr>
                <w:rFonts w:hint="eastAsia" w:ascii="宋体" w:hAnsi="宋体" w:eastAsia="宋体" w:cs="宋体"/>
                <w:color w:val="auto"/>
                <w:sz w:val="21"/>
                <w:szCs w:val="21"/>
                <w:highlight w:val="none"/>
                <w:lang w:val="zh-TW"/>
              </w:rPr>
            </w:pPr>
            <w:r>
              <w:rPr>
                <w:rFonts w:hint="eastAsia" w:ascii="宋体" w:hAnsi="宋体" w:cs="宋体"/>
                <w:color w:val="auto"/>
                <w:szCs w:val="21"/>
                <w:highlight w:val="none"/>
              </w:rPr>
              <w:t>（50分）</w:t>
            </w:r>
          </w:p>
        </w:tc>
        <w:tc>
          <w:tcPr>
            <w:tcW w:w="8080" w:type="dxa"/>
            <w:noWrap w:val="0"/>
            <w:vAlign w:val="center"/>
          </w:tcPr>
          <w:p w14:paraId="7CD08BC7">
            <w:pPr>
              <w:keepLines/>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1.对本项目市场竞争分析情况赋分：</w:t>
            </w:r>
          </w:p>
          <w:p w14:paraId="019E54DB">
            <w:pPr>
              <w:keepLines/>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分析透彻、全面、准确、合理的得5分；</w:t>
            </w:r>
          </w:p>
          <w:p w14:paraId="45FA261F">
            <w:pPr>
              <w:keepLines/>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分析基本透彻、较全面、较准确、较合理的得3分；</w:t>
            </w:r>
          </w:p>
          <w:p w14:paraId="6868B86F">
            <w:pPr>
              <w:keepLines/>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分析不太透彻、全面、不太准确、不太合理的得1分，其余不得分。</w:t>
            </w:r>
          </w:p>
          <w:p w14:paraId="72842894">
            <w:pPr>
              <w:keepLines/>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2.对本项目客户需求研究并绘制客户地图进行赋分：</w:t>
            </w:r>
          </w:p>
          <w:p w14:paraId="331D5C10">
            <w:pPr>
              <w:keepLines/>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分析透彻、全面、准确、合理的得5分；</w:t>
            </w:r>
          </w:p>
          <w:p w14:paraId="718DCEDD">
            <w:pPr>
              <w:keepLines/>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分析基本透彻、较全面、较准确、较合理的得3分；</w:t>
            </w:r>
          </w:p>
          <w:p w14:paraId="3F737073">
            <w:pPr>
              <w:keepLines/>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分析不太透彻、全面、不太准确、不太合理的得1分，其余不得分。</w:t>
            </w:r>
          </w:p>
          <w:p w14:paraId="2A00394E">
            <w:pPr>
              <w:keepLines/>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3.对项目营销故事线梳理进行赋分：</w:t>
            </w:r>
          </w:p>
          <w:p w14:paraId="27272F96">
            <w:pPr>
              <w:keepLines/>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分析透彻、全面、准确、合理的得10分；</w:t>
            </w:r>
          </w:p>
          <w:p w14:paraId="5F2B233F">
            <w:pPr>
              <w:keepLines/>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分析基本透彻、较全面、较准确、较合理的得6分；</w:t>
            </w:r>
          </w:p>
          <w:p w14:paraId="73544831">
            <w:pPr>
              <w:keepLines/>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分析不太透彻、全面、不太准确、不太合理的得2分，其余不得分。</w:t>
            </w:r>
          </w:p>
          <w:p w14:paraId="7646636F">
            <w:pPr>
              <w:keepLines/>
              <w:widowControl/>
              <w:shd w:val="clear"/>
              <w:spacing w:line="360" w:lineRule="auto"/>
              <w:rPr>
                <w:rFonts w:hint="eastAsia" w:ascii="宋体" w:hAnsi="宋体" w:cs="宋体"/>
                <w:color w:val="auto"/>
                <w:szCs w:val="21"/>
                <w:highlight w:val="none"/>
                <w:lang w:bidi="ar"/>
              </w:rPr>
            </w:pPr>
            <w:r>
              <w:rPr>
                <w:rFonts w:hint="eastAsia" w:ascii="宋体" w:hAnsi="宋体" w:cs="宋体"/>
                <w:color w:val="auto"/>
                <w:szCs w:val="21"/>
                <w:highlight w:val="none"/>
                <w:lang w:bidi="ar"/>
              </w:rPr>
              <w:t>4.项目产品定位和价值梳理进行赋分：</w:t>
            </w:r>
          </w:p>
          <w:p w14:paraId="7AC9B6DF">
            <w:pPr>
              <w:keepLines/>
              <w:widowControl/>
              <w:shd w:val="clear"/>
              <w:spacing w:line="360" w:lineRule="auto"/>
              <w:rPr>
                <w:rFonts w:hint="eastAsia" w:ascii="宋体" w:hAnsi="宋体" w:cs="宋体"/>
                <w:color w:val="auto"/>
                <w:szCs w:val="21"/>
                <w:highlight w:val="none"/>
                <w:lang w:bidi="ar"/>
              </w:rPr>
            </w:pPr>
            <w:r>
              <w:rPr>
                <w:rFonts w:hint="eastAsia" w:ascii="宋体" w:hAnsi="宋体" w:cs="宋体"/>
                <w:color w:val="auto"/>
                <w:szCs w:val="21"/>
                <w:highlight w:val="none"/>
                <w:lang w:bidi="ar"/>
              </w:rPr>
              <w:t>产品定位和价值梳理完全符合项目建设和销售要求的得10分；</w:t>
            </w:r>
          </w:p>
          <w:p w14:paraId="4DCD1FC2">
            <w:pPr>
              <w:keepLines/>
              <w:widowControl/>
              <w:shd w:val="clear"/>
              <w:spacing w:line="360" w:lineRule="auto"/>
              <w:rPr>
                <w:rFonts w:hint="eastAsia" w:ascii="宋体" w:hAnsi="宋体" w:cs="宋体"/>
                <w:color w:val="auto"/>
                <w:szCs w:val="21"/>
                <w:highlight w:val="none"/>
                <w:lang w:bidi="ar"/>
              </w:rPr>
            </w:pPr>
            <w:r>
              <w:rPr>
                <w:rFonts w:hint="eastAsia" w:ascii="宋体" w:hAnsi="宋体" w:cs="宋体"/>
                <w:color w:val="auto"/>
                <w:szCs w:val="21"/>
                <w:highlight w:val="none"/>
                <w:lang w:bidi="ar"/>
              </w:rPr>
              <w:t>产品定位和价值梳理基本符合项目建设和销售要求的得6分；</w:t>
            </w:r>
          </w:p>
          <w:p w14:paraId="5710CD08">
            <w:pPr>
              <w:keepLines/>
              <w:widowControl/>
              <w:shd w:val="clear"/>
              <w:spacing w:line="360" w:lineRule="auto"/>
              <w:rPr>
                <w:rFonts w:hint="eastAsia" w:ascii="宋体" w:hAnsi="宋体" w:cs="宋体"/>
                <w:color w:val="auto"/>
                <w:szCs w:val="21"/>
                <w:highlight w:val="none"/>
                <w:lang w:bidi="ar"/>
              </w:rPr>
            </w:pPr>
            <w:r>
              <w:rPr>
                <w:rFonts w:hint="eastAsia" w:ascii="宋体" w:hAnsi="宋体" w:cs="宋体"/>
                <w:color w:val="auto"/>
                <w:szCs w:val="21"/>
                <w:highlight w:val="none"/>
                <w:lang w:bidi="ar"/>
              </w:rPr>
              <w:t>产品定位和价值梳理部分符合项目建设和销售要求的得2分，其余不得分；</w:t>
            </w:r>
          </w:p>
          <w:p w14:paraId="2B34ECED">
            <w:pPr>
              <w:keepLines/>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5.对项目营销策略方案进行赋分：</w:t>
            </w:r>
          </w:p>
          <w:p w14:paraId="2C80753E">
            <w:pPr>
              <w:keepLines/>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营销策略方案合理、可行的得10分；</w:t>
            </w:r>
          </w:p>
          <w:p w14:paraId="27804173">
            <w:pPr>
              <w:keepLines/>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营销策略方案较为合理、可行的得6分；</w:t>
            </w:r>
          </w:p>
          <w:p w14:paraId="1BEE5433">
            <w:pPr>
              <w:keepLines/>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营销策略方案一般合理、可行的得2分，其余不得分；</w:t>
            </w:r>
          </w:p>
          <w:p w14:paraId="26814E1A">
            <w:pPr>
              <w:keepLines/>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6.对项目首开推售计划、价格建议进行赋分：</w:t>
            </w:r>
          </w:p>
          <w:p w14:paraId="4C4199A7">
            <w:pPr>
              <w:keepLines/>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销售计划合理、价格控制严谨的得10分；</w:t>
            </w:r>
          </w:p>
          <w:p w14:paraId="3731F061">
            <w:pPr>
              <w:keepLines/>
              <w:widowControl/>
              <w:shd w:val="clear"/>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销售计划较为合理、价格控制较为严谨的得6分；</w:t>
            </w:r>
          </w:p>
          <w:p w14:paraId="0BF2C59C">
            <w:pPr>
              <w:pStyle w:val="190"/>
              <w:keepLines/>
              <w:shd w:val="clear"/>
              <w:tabs>
                <w:tab w:val="left" w:pos="720"/>
                <w:tab w:val="left" w:pos="1440"/>
                <w:tab w:val="left" w:pos="2160"/>
                <w:tab w:val="left" w:pos="2880"/>
              </w:tabs>
              <w:spacing w:line="360" w:lineRule="auto"/>
              <w:rPr>
                <w:rFonts w:hint="default"/>
                <w:color w:val="auto"/>
                <w:highlight w:val="none"/>
                <w:lang w:val="en-US" w:eastAsia="zh-CN"/>
              </w:rPr>
            </w:pPr>
            <w:r>
              <w:rPr>
                <w:rFonts w:ascii="宋体" w:hAnsi="宋体" w:eastAsia="宋体" w:cs="宋体"/>
                <w:color w:val="auto"/>
                <w:kern w:val="2"/>
                <w:sz w:val="21"/>
                <w:szCs w:val="21"/>
                <w:highlight w:val="none"/>
                <w:lang w:bidi="ar"/>
              </w:rPr>
              <w:t>销售计划一般合理、价格控制一般严谨的得2分</w:t>
            </w:r>
            <w:r>
              <w:rPr>
                <w:rFonts w:ascii="宋体" w:hAnsi="宋体" w:eastAsia="宋体" w:cs="宋体"/>
                <w:color w:val="auto"/>
                <w:sz w:val="21"/>
                <w:szCs w:val="21"/>
                <w:highlight w:val="none"/>
                <w:lang w:bidi="ar"/>
              </w:rPr>
              <w:t>，其余不得分</w:t>
            </w:r>
            <w:r>
              <w:rPr>
                <w:rFonts w:ascii="宋体" w:hAnsi="宋体" w:eastAsia="宋体" w:cs="宋体"/>
                <w:color w:val="auto"/>
                <w:kern w:val="2"/>
                <w:sz w:val="21"/>
                <w:szCs w:val="21"/>
                <w:highlight w:val="none"/>
                <w:lang w:bidi="ar"/>
              </w:rPr>
              <w:t>；</w:t>
            </w:r>
          </w:p>
        </w:tc>
      </w:tr>
      <w:tr w14:paraId="2D7FE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70" w:type="pct"/>
            <w:shd w:val="clear" w:color="auto" w:fill="auto"/>
            <w:noWrap w:val="0"/>
            <w:vAlign w:val="center"/>
          </w:tcPr>
          <w:p w14:paraId="3A43F44F">
            <w:pPr>
              <w:keepNext w:val="0"/>
              <w:keepLines/>
              <w:pageBreakBefore w:val="0"/>
              <w:widowControl/>
              <w:shd w:val="clear"/>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企业实力</w:t>
            </w:r>
          </w:p>
          <w:p w14:paraId="68C867F7">
            <w:pPr>
              <w:keepNext w:val="0"/>
              <w:keepLines/>
              <w:pageBreakBefore w:val="0"/>
              <w:widowControl/>
              <w:shd w:val="clear"/>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4229" w:type="pct"/>
            <w:shd w:val="clear" w:color="auto" w:fill="auto"/>
            <w:noWrap w:val="0"/>
            <w:vAlign w:val="center"/>
          </w:tcPr>
          <w:p w14:paraId="1C088A74">
            <w:pPr>
              <w:keepNext w:val="0"/>
              <w:keepLines/>
              <w:pageBreakBefore w:val="0"/>
              <w:widowControl/>
              <w:numPr>
                <w:ilvl w:val="0"/>
                <w:numId w:val="24"/>
              </w:numPr>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lang w:bidi="ar"/>
              </w:rPr>
            </w:pPr>
            <w:r>
              <w:rPr>
                <w:rFonts w:hint="eastAsia" w:ascii="宋体" w:hAnsi="宋体" w:eastAsia="宋体" w:cs="宋体"/>
                <w:color w:val="auto"/>
                <w:sz w:val="21"/>
                <w:szCs w:val="21"/>
                <w:highlight w:val="none"/>
                <w:lang w:bidi="ar"/>
              </w:rPr>
              <w:t>拟投入本项目团队成员包括但不限于：</w:t>
            </w:r>
            <w:r>
              <w:rPr>
                <w:rFonts w:hint="eastAsia" w:ascii="宋体" w:hAnsi="宋体" w:eastAsia="宋体" w:cs="宋体"/>
                <w:color w:val="auto"/>
                <w:sz w:val="21"/>
                <w:szCs w:val="21"/>
                <w:highlight w:val="none"/>
                <w:lang w:val="en-US" w:eastAsia="zh-CN" w:bidi="ar"/>
              </w:rPr>
              <w:t>项目经理、销售经理、</w:t>
            </w:r>
            <w:r>
              <w:rPr>
                <w:rFonts w:hint="eastAsia" w:ascii="宋体" w:hAnsi="宋体" w:cs="宋体"/>
                <w:color w:val="auto"/>
                <w:sz w:val="21"/>
                <w:szCs w:val="21"/>
                <w:highlight w:val="none"/>
                <w:lang w:val="en-US" w:eastAsia="zh-CN" w:bidi="ar"/>
              </w:rPr>
              <w:t>销控主管、</w:t>
            </w:r>
            <w:r>
              <w:rPr>
                <w:rFonts w:hint="eastAsia" w:ascii="宋体" w:hAnsi="宋体" w:eastAsia="宋体" w:cs="宋体"/>
                <w:color w:val="auto"/>
                <w:sz w:val="21"/>
                <w:szCs w:val="21"/>
                <w:highlight w:val="none"/>
                <w:lang w:val="en-US" w:eastAsia="zh-CN" w:bidi="ar"/>
              </w:rPr>
              <w:t>销售人员</w:t>
            </w:r>
            <w:r>
              <w:rPr>
                <w:rFonts w:hint="eastAsia" w:ascii="宋体" w:hAnsi="宋体" w:eastAsia="宋体" w:cs="宋体"/>
                <w:color w:val="auto"/>
                <w:sz w:val="21"/>
                <w:szCs w:val="21"/>
                <w:highlight w:val="none"/>
                <w:lang w:bidi="ar"/>
              </w:rPr>
              <w:t>共计不少于</w:t>
            </w:r>
            <w:r>
              <w:rPr>
                <w:rFonts w:hint="eastAsia" w:ascii="宋体" w:hAnsi="宋体" w:eastAsia="宋体" w:cs="宋体"/>
                <w:color w:val="auto"/>
                <w:sz w:val="21"/>
                <w:szCs w:val="21"/>
                <w:highlight w:val="none"/>
                <w:lang w:val="en-US" w:eastAsia="zh-CN" w:bidi="ar"/>
              </w:rPr>
              <w:t>10</w:t>
            </w:r>
            <w:r>
              <w:rPr>
                <w:rFonts w:hint="eastAsia" w:ascii="宋体" w:hAnsi="宋体" w:eastAsia="宋体" w:cs="宋体"/>
                <w:color w:val="auto"/>
                <w:sz w:val="21"/>
                <w:szCs w:val="21"/>
                <w:highlight w:val="none"/>
                <w:lang w:bidi="ar"/>
              </w:rPr>
              <w:t>人。投标人承诺拟投入项目组成员配备全面、齐全的得</w:t>
            </w:r>
            <w:r>
              <w:rPr>
                <w:rFonts w:hint="eastAsia" w:ascii="宋体" w:hAnsi="宋体" w:cs="宋体"/>
                <w:color w:val="auto"/>
                <w:sz w:val="21"/>
                <w:szCs w:val="21"/>
                <w:highlight w:val="none"/>
                <w:lang w:val="en-US" w:eastAsia="zh-CN" w:bidi="ar"/>
              </w:rPr>
              <w:t>5分</w:t>
            </w:r>
            <w:r>
              <w:rPr>
                <w:rFonts w:hint="eastAsia" w:ascii="宋体" w:hAnsi="宋体" w:eastAsia="宋体" w:cs="宋体"/>
                <w:color w:val="auto"/>
                <w:sz w:val="21"/>
                <w:szCs w:val="21"/>
                <w:highlight w:val="none"/>
                <w:lang w:bidi="ar"/>
              </w:rPr>
              <w:t>，未承诺或承诺人员不齐全的不得分。</w:t>
            </w:r>
            <w:r>
              <w:rPr>
                <w:rFonts w:hint="eastAsia" w:ascii="宋体" w:hAnsi="宋体" w:eastAsia="宋体" w:cs="宋体"/>
                <w:b/>
                <w:bCs/>
                <w:color w:val="auto"/>
                <w:sz w:val="21"/>
                <w:szCs w:val="21"/>
                <w:highlight w:val="none"/>
                <w:lang w:bidi="ar"/>
              </w:rPr>
              <w:t>（投标人须提供承诺书原件，格式自拟）</w:t>
            </w:r>
          </w:p>
          <w:p w14:paraId="2C38559A">
            <w:pPr>
              <w:keepNext w:val="0"/>
              <w:keepLines/>
              <w:pageBreakBefore w:val="0"/>
              <w:widowControl/>
              <w:numPr>
                <w:ilvl w:val="0"/>
                <w:numId w:val="24"/>
              </w:numPr>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bidi="ar"/>
              </w:rPr>
              <w:t>拟投入本项目团队</w:t>
            </w:r>
            <w:r>
              <w:rPr>
                <w:rFonts w:hint="eastAsia" w:ascii="宋体" w:hAnsi="宋体" w:cs="宋体"/>
                <w:color w:val="auto"/>
                <w:sz w:val="21"/>
                <w:szCs w:val="21"/>
                <w:highlight w:val="none"/>
                <w:lang w:val="en-US" w:eastAsia="zh-CN" w:bidi="ar"/>
              </w:rPr>
              <w:t>的主要管理人员（项目</w:t>
            </w:r>
            <w:r>
              <w:rPr>
                <w:rFonts w:hint="eastAsia" w:ascii="宋体" w:hAnsi="宋体" w:cs="宋体"/>
                <w:b w:val="0"/>
                <w:bCs w:val="0"/>
                <w:color w:val="auto"/>
                <w:sz w:val="21"/>
                <w:szCs w:val="21"/>
                <w:highlight w:val="none"/>
                <w:lang w:val="en-US" w:eastAsia="zh-CN" w:bidi="ar"/>
              </w:rPr>
              <w:t>经理、销售经理、销控主管）提供人员</w:t>
            </w:r>
            <w:r>
              <w:rPr>
                <w:rFonts w:hint="eastAsia" w:ascii="宋体" w:hAnsi="宋体" w:cs="宋体"/>
                <w:b w:val="0"/>
                <w:bCs w:val="0"/>
                <w:color w:val="auto"/>
                <w:szCs w:val="21"/>
                <w:highlight w:val="none"/>
                <w:lang w:bidi="ar"/>
              </w:rPr>
              <w:t>简历表</w:t>
            </w:r>
            <w:r>
              <w:rPr>
                <w:rFonts w:hint="eastAsia" w:ascii="宋体" w:hAnsi="宋体" w:cs="宋体"/>
                <w:b w:val="0"/>
                <w:bCs w:val="0"/>
                <w:color w:val="auto"/>
                <w:szCs w:val="21"/>
                <w:highlight w:val="none"/>
                <w:lang w:val="en-US" w:eastAsia="zh-CN" w:bidi="ar"/>
              </w:rPr>
              <w:t>的得5分，未提供或人员不齐全的不得分。</w:t>
            </w:r>
            <w:r>
              <w:rPr>
                <w:rFonts w:hint="eastAsia" w:ascii="宋体" w:hAnsi="宋体" w:cs="宋体"/>
                <w:b/>
                <w:bCs/>
                <w:color w:val="auto"/>
                <w:szCs w:val="21"/>
                <w:highlight w:val="none"/>
                <w:lang w:val="en-US" w:eastAsia="zh-CN" w:bidi="ar"/>
              </w:rPr>
              <w:t>（投标人须提供主要管理人员</w:t>
            </w:r>
            <w:r>
              <w:rPr>
                <w:rFonts w:hint="eastAsia" w:ascii="宋体" w:hAnsi="宋体" w:cs="宋体"/>
                <w:b/>
                <w:bCs/>
                <w:color w:val="auto"/>
                <w:szCs w:val="21"/>
                <w:highlight w:val="none"/>
              </w:rPr>
              <w:t>202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年</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月-2025年</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月任意一个月的社保缴纳证明</w:t>
            </w:r>
            <w:r>
              <w:rPr>
                <w:rFonts w:hint="eastAsia" w:ascii="宋体" w:hAnsi="宋体" w:cs="宋体"/>
                <w:b/>
                <w:bCs/>
                <w:color w:val="auto"/>
                <w:szCs w:val="21"/>
                <w:highlight w:val="none"/>
                <w:lang w:val="en-US" w:eastAsia="zh-CN"/>
              </w:rPr>
              <w:t>及人员简历表，加盖投标人公章</w:t>
            </w:r>
            <w:r>
              <w:rPr>
                <w:rFonts w:hint="eastAsia" w:ascii="宋体" w:hAnsi="宋体" w:cs="宋体"/>
                <w:b/>
                <w:bCs/>
                <w:color w:val="auto"/>
                <w:szCs w:val="21"/>
                <w:highlight w:val="none"/>
                <w:lang w:bidi="ar"/>
              </w:rPr>
              <w:t>）</w:t>
            </w:r>
          </w:p>
          <w:p w14:paraId="59080C5E">
            <w:pPr>
              <w:keepNext w:val="0"/>
              <w:keepLines/>
              <w:pageBreakBefore w:val="0"/>
              <w:widowControl/>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bidi="ar"/>
              </w:rPr>
              <w:t>3</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投标人承诺拟投入项目组成员现场办公的得</w:t>
            </w:r>
            <w:r>
              <w:rPr>
                <w:rFonts w:hint="eastAsia" w:ascii="宋体" w:hAnsi="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分，未承诺</w:t>
            </w:r>
            <w:r>
              <w:rPr>
                <w:rFonts w:hint="eastAsia" w:ascii="宋体" w:hAnsi="宋体" w:cs="宋体"/>
                <w:color w:val="auto"/>
                <w:sz w:val="21"/>
                <w:szCs w:val="21"/>
                <w:highlight w:val="none"/>
                <w:lang w:val="en-US" w:eastAsia="zh-CN" w:bidi="ar"/>
              </w:rPr>
              <w:t>现场办公</w:t>
            </w:r>
            <w:r>
              <w:rPr>
                <w:rFonts w:hint="eastAsia" w:ascii="宋体" w:hAnsi="宋体" w:eastAsia="宋体" w:cs="宋体"/>
                <w:color w:val="auto"/>
                <w:sz w:val="21"/>
                <w:szCs w:val="21"/>
                <w:highlight w:val="none"/>
                <w:lang w:bidi="ar"/>
              </w:rPr>
              <w:t>的不得分。（</w:t>
            </w:r>
            <w:r>
              <w:rPr>
                <w:rFonts w:hint="eastAsia" w:ascii="宋体" w:hAnsi="宋体" w:eastAsia="宋体" w:cs="宋体"/>
                <w:b/>
                <w:bCs/>
                <w:color w:val="auto"/>
                <w:sz w:val="21"/>
                <w:szCs w:val="21"/>
                <w:highlight w:val="none"/>
                <w:lang w:bidi="ar"/>
              </w:rPr>
              <w:t>投标人须提供承诺书原件，格式自拟）</w:t>
            </w:r>
          </w:p>
          <w:p w14:paraId="3FBDF814">
            <w:pPr>
              <w:keepNext w:val="0"/>
              <w:keepLines/>
              <w:pageBreakBefore w:val="0"/>
              <w:widowControl/>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bidi="ar"/>
              </w:rPr>
              <w:t>4</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bidi="ar"/>
              </w:rPr>
              <w:t>20</w:t>
            </w:r>
            <w:r>
              <w:rPr>
                <w:rFonts w:hint="eastAsia" w:ascii="宋体" w:hAnsi="宋体" w:eastAsia="宋体" w:cs="宋体"/>
                <w:color w:val="auto"/>
                <w:sz w:val="21"/>
                <w:szCs w:val="21"/>
                <w:highlight w:val="none"/>
                <w:lang w:val="en-US" w:eastAsia="zh-CN" w:bidi="ar"/>
              </w:rPr>
              <w:t>22</w:t>
            </w:r>
            <w:r>
              <w:rPr>
                <w:rFonts w:hint="eastAsia" w:ascii="宋体" w:hAnsi="宋体" w:eastAsia="宋体" w:cs="宋体"/>
                <w:color w:val="auto"/>
                <w:sz w:val="21"/>
                <w:szCs w:val="21"/>
                <w:highlight w:val="none"/>
                <w:lang w:bidi="ar"/>
              </w:rPr>
              <w:t>年1月1日以来，投标人承担过</w:t>
            </w:r>
            <w:r>
              <w:rPr>
                <w:rFonts w:hint="eastAsia" w:ascii="宋体" w:hAnsi="宋体" w:eastAsia="宋体" w:cs="宋体"/>
                <w:color w:val="auto"/>
                <w:sz w:val="21"/>
                <w:szCs w:val="21"/>
                <w:highlight w:val="none"/>
                <w:lang w:val="en-US" w:eastAsia="zh-CN" w:bidi="ar"/>
              </w:rPr>
              <w:t>类似项目</w:t>
            </w:r>
            <w:r>
              <w:rPr>
                <w:rFonts w:hint="eastAsia" w:ascii="宋体" w:hAnsi="宋体" w:eastAsia="宋体" w:cs="宋体"/>
                <w:color w:val="auto"/>
                <w:sz w:val="21"/>
                <w:szCs w:val="21"/>
                <w:highlight w:val="none"/>
                <w:lang w:bidi="ar"/>
              </w:rPr>
              <w:t>业绩</w:t>
            </w:r>
            <w:r>
              <w:rPr>
                <w:rFonts w:hint="eastAsia" w:ascii="宋体" w:hAnsi="宋体" w:eastAsia="宋体" w:cs="宋体"/>
                <w:color w:val="auto"/>
                <w:sz w:val="21"/>
                <w:szCs w:val="21"/>
                <w:highlight w:val="none"/>
                <w:lang w:val="en-US" w:eastAsia="zh-CN" w:bidi="ar"/>
              </w:rPr>
              <w:t>的</w:t>
            </w:r>
            <w:r>
              <w:rPr>
                <w:rFonts w:hint="eastAsia" w:ascii="宋体" w:hAnsi="宋体" w:eastAsia="宋体" w:cs="宋体"/>
                <w:color w:val="auto"/>
                <w:sz w:val="21"/>
                <w:szCs w:val="21"/>
                <w:highlight w:val="none"/>
                <w:lang w:bidi="ar"/>
              </w:rPr>
              <w:t>，每个得</w:t>
            </w:r>
            <w:r>
              <w:rPr>
                <w:rFonts w:hint="eastAsia" w:ascii="宋体" w:hAnsi="宋体" w:eastAsia="宋体" w:cs="宋体"/>
                <w:color w:val="auto"/>
                <w:sz w:val="21"/>
                <w:szCs w:val="21"/>
                <w:highlight w:val="none"/>
                <w:lang w:val="en-US" w:eastAsia="zh-CN" w:bidi="ar"/>
              </w:rPr>
              <w:t>3</w:t>
            </w:r>
            <w:r>
              <w:rPr>
                <w:rFonts w:hint="eastAsia" w:ascii="宋体" w:hAnsi="宋体" w:eastAsia="宋体" w:cs="宋体"/>
                <w:color w:val="auto"/>
                <w:sz w:val="21"/>
                <w:szCs w:val="21"/>
                <w:highlight w:val="none"/>
                <w:lang w:bidi="ar"/>
              </w:rPr>
              <w:t>分，本项最高得</w:t>
            </w:r>
            <w:r>
              <w:rPr>
                <w:rFonts w:hint="eastAsia" w:ascii="宋体" w:hAnsi="宋体" w:cs="宋体"/>
                <w:color w:val="auto"/>
                <w:sz w:val="21"/>
                <w:szCs w:val="21"/>
                <w:highlight w:val="none"/>
                <w:lang w:val="en-US" w:eastAsia="zh-CN" w:bidi="ar"/>
              </w:rPr>
              <w:t>15</w:t>
            </w:r>
            <w:r>
              <w:rPr>
                <w:rFonts w:hint="eastAsia" w:ascii="宋体" w:hAnsi="宋体" w:eastAsia="宋体" w:cs="宋体"/>
                <w:color w:val="auto"/>
                <w:sz w:val="21"/>
                <w:szCs w:val="21"/>
                <w:highlight w:val="none"/>
                <w:lang w:val="en-US" w:eastAsia="zh-CN" w:bidi="ar"/>
              </w:rPr>
              <w:t>分</w:t>
            </w:r>
            <w:r>
              <w:rPr>
                <w:rFonts w:hint="eastAsia" w:ascii="宋体" w:hAnsi="宋体" w:eastAsia="宋体" w:cs="宋体"/>
                <w:color w:val="auto"/>
                <w:sz w:val="21"/>
                <w:szCs w:val="21"/>
                <w:highlight w:val="none"/>
                <w:lang w:bidi="ar"/>
              </w:rPr>
              <w:t>。</w:t>
            </w:r>
            <w:r>
              <w:rPr>
                <w:rFonts w:hint="eastAsia" w:ascii="宋体" w:hAnsi="宋体" w:eastAsia="宋体" w:cs="宋体"/>
                <w:b/>
                <w:bCs/>
                <w:color w:val="auto"/>
                <w:sz w:val="21"/>
                <w:szCs w:val="21"/>
                <w:highlight w:val="none"/>
                <w:lang w:bidi="ar"/>
              </w:rPr>
              <w:t>（须附合同关键页复印件</w:t>
            </w:r>
            <w:r>
              <w:rPr>
                <w:rFonts w:hint="eastAsia" w:ascii="宋体" w:hAnsi="宋体" w:cs="宋体"/>
                <w:b/>
                <w:bCs/>
                <w:color w:val="auto"/>
                <w:szCs w:val="21"/>
                <w:highlight w:val="none"/>
                <w:lang w:val="en-US" w:eastAsia="zh-CN"/>
              </w:rPr>
              <w:t>加盖投标人公章</w:t>
            </w:r>
            <w:r>
              <w:rPr>
                <w:rFonts w:hint="eastAsia" w:ascii="宋体" w:hAnsi="宋体" w:eastAsia="宋体" w:cs="宋体"/>
                <w:b/>
                <w:bCs/>
                <w:color w:val="auto"/>
                <w:sz w:val="21"/>
                <w:szCs w:val="21"/>
                <w:highlight w:val="none"/>
                <w:lang w:bidi="ar"/>
              </w:rPr>
              <w:t>，以合同签订时间为准</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同时提供原件备查</w:t>
            </w:r>
            <w:r>
              <w:rPr>
                <w:rFonts w:hint="eastAsia" w:ascii="宋体" w:hAnsi="宋体" w:eastAsia="宋体" w:cs="宋体"/>
                <w:b/>
                <w:bCs/>
                <w:color w:val="auto"/>
                <w:sz w:val="21"/>
                <w:szCs w:val="21"/>
                <w:highlight w:val="none"/>
                <w:lang w:bidi="ar"/>
              </w:rPr>
              <w:t>）</w:t>
            </w:r>
          </w:p>
        </w:tc>
      </w:tr>
    </w:tbl>
    <w:p w14:paraId="632E0634">
      <w:pPr>
        <w:shd w:val="clear"/>
        <w:rPr>
          <w:rFonts w:ascii="宋体" w:hAnsi="宋体" w:cs="宋体"/>
          <w:color w:val="auto"/>
          <w:szCs w:val="20"/>
          <w:highlight w:val="none"/>
        </w:rPr>
      </w:pPr>
      <w:r>
        <w:rPr>
          <w:rFonts w:hint="eastAsia" w:ascii="宋体" w:hAnsi="宋体" w:cs="宋体"/>
          <w:color w:val="auto"/>
          <w:szCs w:val="20"/>
          <w:highlight w:val="none"/>
        </w:rPr>
        <w:t>注：</w:t>
      </w:r>
    </w:p>
    <w:p w14:paraId="4372AA6C">
      <w:pPr>
        <w:numPr>
          <w:ilvl w:val="0"/>
          <w:numId w:val="25"/>
        </w:numPr>
        <w:shd w:val="clea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评分标准中要求提供</w:t>
      </w:r>
      <w:r>
        <w:rPr>
          <w:rFonts w:hint="eastAsia" w:ascii="宋体" w:hAnsi="宋体" w:eastAsia="宋体" w:cs="宋体"/>
          <w:b/>
          <w:bCs/>
          <w:color w:val="auto"/>
          <w:szCs w:val="21"/>
          <w:highlight w:val="none"/>
        </w:rPr>
        <w:t>原件备查</w:t>
      </w:r>
      <w:r>
        <w:rPr>
          <w:rFonts w:hint="eastAsia" w:ascii="宋体" w:hAnsi="宋体" w:eastAsia="宋体" w:cs="宋体"/>
          <w:color w:val="auto"/>
          <w:szCs w:val="21"/>
          <w:highlight w:val="none"/>
        </w:rPr>
        <w:t>的，</w:t>
      </w:r>
      <w:r>
        <w:rPr>
          <w:rFonts w:hint="eastAsia" w:ascii="宋体" w:hAnsi="宋体" w:eastAsia="宋体" w:cs="宋体"/>
          <w:b/>
          <w:bCs/>
          <w:color w:val="auto"/>
          <w:szCs w:val="21"/>
          <w:highlight w:val="none"/>
        </w:rPr>
        <w:t>必须提供相关原件，否则与之对应项不得分</w:t>
      </w:r>
      <w:r>
        <w:rPr>
          <w:rFonts w:hint="eastAsia" w:ascii="宋体" w:hAnsi="宋体" w:eastAsia="宋体" w:cs="宋体"/>
          <w:color w:val="auto"/>
          <w:szCs w:val="21"/>
          <w:highlight w:val="none"/>
        </w:rPr>
        <w:t>。</w:t>
      </w:r>
    </w:p>
    <w:p w14:paraId="2E9560A3">
      <w:pPr>
        <w:numPr>
          <w:ilvl w:val="0"/>
          <w:numId w:val="25"/>
        </w:numPr>
        <w:shd w:val="clea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提供的材料中涉及评标的相关数据不一致的，以数额较小的为准。</w:t>
      </w:r>
    </w:p>
    <w:p w14:paraId="75331BFA">
      <w:pPr>
        <w:numPr>
          <w:ilvl w:val="0"/>
          <w:numId w:val="25"/>
        </w:numPr>
        <w:shd w:val="clea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不是供应商承接的，不予计分。</w:t>
      </w:r>
    </w:p>
    <w:p w14:paraId="61BA82E8">
      <w:pPr>
        <w:numPr>
          <w:ilvl w:val="0"/>
          <w:numId w:val="25"/>
        </w:numPr>
        <w:shd w:val="clea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投标文件的正本和副本中均需提供相关原件的复印件加盖供应商公章。</w:t>
      </w:r>
    </w:p>
    <w:p w14:paraId="75A6ED7A">
      <w:pPr>
        <w:numPr>
          <w:ilvl w:val="0"/>
          <w:numId w:val="25"/>
        </w:numPr>
        <w:shd w:val="clear"/>
        <w:adjustRightInd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若发现有提供虚假的证明材料，视为无效响应，追究相关责任。</w:t>
      </w:r>
    </w:p>
    <w:p w14:paraId="49167E67">
      <w:pPr>
        <w:numPr>
          <w:ilvl w:val="0"/>
          <w:numId w:val="25"/>
        </w:numPr>
        <w:shd w:val="clea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br w:type="page"/>
      </w:r>
    </w:p>
    <w:p w14:paraId="72B7E899">
      <w:pPr>
        <w:pStyle w:val="47"/>
        <w:shd w:val="clear"/>
        <w:rPr>
          <w:color w:val="auto"/>
          <w:highlight w:val="none"/>
        </w:rPr>
      </w:pPr>
    </w:p>
    <w:p w14:paraId="09EECEA4">
      <w:pPr>
        <w:shd w:val="clear"/>
        <w:rPr>
          <w:rFonts w:hint="eastAsia" w:ascii="宋体" w:hAnsi="宋体" w:cs="宋体"/>
          <w:color w:val="auto"/>
          <w:sz w:val="36"/>
          <w:highlight w:val="none"/>
        </w:rPr>
      </w:pPr>
      <w:bookmarkStart w:id="114" w:name="_Toc18798"/>
      <w:bookmarkStart w:id="115" w:name="_Toc497133123"/>
    </w:p>
    <w:p w14:paraId="1E352B36">
      <w:pPr>
        <w:pStyle w:val="2"/>
        <w:shd w:val="clear"/>
        <w:spacing w:after="340" w:line="480" w:lineRule="auto"/>
        <w:jc w:val="center"/>
        <w:rPr>
          <w:rFonts w:ascii="宋体" w:hAnsi="宋体" w:cs="宋体"/>
          <w:color w:val="auto"/>
          <w:sz w:val="36"/>
          <w:highlight w:val="none"/>
        </w:rPr>
      </w:pPr>
      <w:bookmarkStart w:id="116" w:name="_Toc8468"/>
      <w:r>
        <w:rPr>
          <w:rFonts w:hint="eastAsia" w:ascii="宋体" w:hAnsi="宋体" w:cs="宋体"/>
          <w:color w:val="auto"/>
          <w:sz w:val="36"/>
          <w:highlight w:val="none"/>
        </w:rPr>
        <w:t>第六章 投标文件格式</w:t>
      </w:r>
      <w:bookmarkEnd w:id="114"/>
      <w:bookmarkEnd w:id="115"/>
      <w:bookmarkEnd w:id="116"/>
    </w:p>
    <w:p w14:paraId="1EDA837C">
      <w:pPr>
        <w:shd w:val="clear"/>
        <w:jc w:val="center"/>
        <w:rPr>
          <w:rFonts w:ascii="宋体" w:hAnsi="宋体" w:cs="宋体"/>
          <w:b/>
          <w:color w:val="auto"/>
          <w:sz w:val="36"/>
          <w:highlight w:val="none"/>
        </w:rPr>
      </w:pPr>
    </w:p>
    <w:p w14:paraId="6C783015">
      <w:pPr>
        <w:shd w:val="clear"/>
        <w:jc w:val="center"/>
        <w:rPr>
          <w:rFonts w:ascii="宋体" w:hAnsi="宋体" w:cs="宋体"/>
          <w:b/>
          <w:color w:val="auto"/>
          <w:szCs w:val="21"/>
          <w:highlight w:val="none"/>
        </w:rPr>
      </w:pPr>
    </w:p>
    <w:p w14:paraId="42245331">
      <w:pPr>
        <w:shd w:val="clear"/>
        <w:jc w:val="center"/>
        <w:rPr>
          <w:rFonts w:ascii="宋体" w:hAnsi="宋体" w:cs="宋体"/>
          <w:b/>
          <w:color w:val="auto"/>
          <w:sz w:val="22"/>
          <w:szCs w:val="21"/>
          <w:highlight w:val="none"/>
        </w:rPr>
      </w:pPr>
    </w:p>
    <w:p w14:paraId="709A18F2">
      <w:pPr>
        <w:shd w:val="clear"/>
        <w:jc w:val="center"/>
        <w:rPr>
          <w:rFonts w:ascii="宋体" w:hAnsi="宋体" w:cs="宋体"/>
          <w:b/>
          <w:color w:val="auto"/>
          <w:sz w:val="72"/>
          <w:highlight w:val="none"/>
        </w:rPr>
      </w:pPr>
      <w:r>
        <w:rPr>
          <w:rFonts w:hint="eastAsia" w:ascii="宋体" w:hAnsi="宋体" w:cs="宋体"/>
          <w:b/>
          <w:color w:val="auto"/>
          <w:sz w:val="72"/>
          <w:highlight w:val="none"/>
        </w:rPr>
        <w:t>投  标  文  件</w:t>
      </w:r>
    </w:p>
    <w:p w14:paraId="301F9B46">
      <w:pPr>
        <w:shd w:val="clear"/>
        <w:jc w:val="center"/>
        <w:rPr>
          <w:rFonts w:ascii="宋体" w:hAnsi="宋体" w:cs="宋体"/>
          <w:b/>
          <w:color w:val="auto"/>
          <w:sz w:val="72"/>
          <w:highlight w:val="none"/>
        </w:rPr>
      </w:pPr>
    </w:p>
    <w:p w14:paraId="625FD23F">
      <w:pPr>
        <w:shd w:val="clear"/>
        <w:jc w:val="center"/>
        <w:rPr>
          <w:rFonts w:ascii="宋体" w:hAnsi="宋体" w:cs="宋体"/>
          <w:b/>
          <w:color w:val="auto"/>
          <w:sz w:val="72"/>
          <w:highlight w:val="none"/>
        </w:rPr>
      </w:pPr>
    </w:p>
    <w:p w14:paraId="6E997A0E">
      <w:pPr>
        <w:shd w:val="clear"/>
        <w:jc w:val="center"/>
        <w:rPr>
          <w:rFonts w:ascii="宋体" w:hAnsi="宋体" w:cs="宋体"/>
          <w:b/>
          <w:color w:val="auto"/>
          <w:sz w:val="36"/>
          <w:highlight w:val="none"/>
        </w:rPr>
      </w:pPr>
    </w:p>
    <w:p w14:paraId="45BB2A17">
      <w:pPr>
        <w:shd w:val="clear"/>
        <w:jc w:val="center"/>
        <w:rPr>
          <w:rFonts w:ascii="宋体" w:hAnsi="宋体" w:cs="宋体"/>
          <w:b/>
          <w:color w:val="auto"/>
          <w:sz w:val="36"/>
          <w:highlight w:val="none"/>
        </w:rPr>
      </w:pPr>
    </w:p>
    <w:p w14:paraId="1890A6AB">
      <w:pPr>
        <w:shd w:val="clear"/>
        <w:jc w:val="center"/>
        <w:rPr>
          <w:rFonts w:ascii="宋体" w:hAnsi="宋体" w:cs="宋体"/>
          <w:b/>
          <w:color w:val="auto"/>
          <w:sz w:val="36"/>
          <w:highlight w:val="none"/>
        </w:rPr>
      </w:pPr>
    </w:p>
    <w:p w14:paraId="3B96C311">
      <w:pPr>
        <w:shd w:val="clear"/>
        <w:ind w:left="2166" w:leftChars="171" w:hanging="1807" w:hangingChars="500"/>
        <w:rPr>
          <w:rFonts w:hint="eastAsia" w:ascii="宋体" w:hAnsi="宋体" w:eastAsia="宋体" w:cs="宋体"/>
          <w:color w:val="auto"/>
          <w:sz w:val="32"/>
          <w:szCs w:val="32"/>
          <w:highlight w:val="none"/>
          <w:lang w:eastAsia="zh-CN"/>
        </w:rPr>
      </w:pPr>
      <w:r>
        <w:rPr>
          <w:rFonts w:hint="eastAsia" w:ascii="宋体" w:hAnsi="宋体" w:cs="宋体"/>
          <w:b/>
          <w:color w:val="auto"/>
          <w:sz w:val="36"/>
          <w:highlight w:val="none"/>
        </w:rPr>
        <w:t>项目名称：</w:t>
      </w:r>
      <w:r>
        <w:rPr>
          <w:rFonts w:hint="eastAsia" w:ascii="宋体" w:hAnsi="宋体" w:cs="宋体"/>
          <w:b/>
          <w:bCs/>
          <w:color w:val="auto"/>
          <w:sz w:val="36"/>
          <w:szCs w:val="36"/>
          <w:highlight w:val="none"/>
          <w:lang w:eastAsia="zh-CN"/>
        </w:rPr>
        <w:t>GZ627地块房地产开发项目营销代理服务</w:t>
      </w:r>
    </w:p>
    <w:p w14:paraId="4376A02C">
      <w:pPr>
        <w:shd w:val="clear"/>
        <w:ind w:firstLine="361" w:firstLineChars="100"/>
        <w:rPr>
          <w:rFonts w:hint="eastAsia" w:ascii="宋体" w:hAnsi="宋体" w:eastAsia="宋体" w:cs="宋体"/>
          <w:b/>
          <w:color w:val="auto"/>
          <w:sz w:val="32"/>
          <w:szCs w:val="32"/>
          <w:highlight w:val="none"/>
          <w:u w:val="single"/>
          <w:lang w:eastAsia="zh-CN"/>
        </w:rPr>
      </w:pPr>
      <w:r>
        <w:rPr>
          <w:rFonts w:hint="eastAsia" w:ascii="宋体" w:hAnsi="宋体" w:cs="宋体"/>
          <w:b/>
          <w:color w:val="auto"/>
          <w:sz w:val="36"/>
          <w:highlight w:val="none"/>
        </w:rPr>
        <w:t>编       号：</w:t>
      </w:r>
      <w:r>
        <w:rPr>
          <w:rFonts w:hint="eastAsia" w:ascii="宋体" w:hAnsi="宋体" w:cs="宋体"/>
          <w:b/>
          <w:color w:val="auto"/>
          <w:sz w:val="36"/>
          <w:highlight w:val="none"/>
          <w:lang w:eastAsia="zh-CN"/>
        </w:rPr>
        <w:t>JSSDZX-2025124号</w:t>
      </w:r>
    </w:p>
    <w:p w14:paraId="5A41E15F">
      <w:pPr>
        <w:shd w:val="clear"/>
        <w:rPr>
          <w:rFonts w:ascii="宋体" w:hAnsi="宋体" w:cs="宋体"/>
          <w:b/>
          <w:color w:val="auto"/>
          <w:sz w:val="36"/>
          <w:highlight w:val="none"/>
          <w:u w:val="single"/>
        </w:rPr>
      </w:pPr>
      <w:r>
        <w:rPr>
          <w:rFonts w:hint="eastAsia" w:ascii="宋体" w:hAnsi="宋体" w:cs="宋体"/>
          <w:b/>
          <w:color w:val="auto"/>
          <w:sz w:val="36"/>
          <w:highlight w:val="none"/>
        </w:rPr>
        <w:t xml:space="preserve">  投标人名称 ：</w:t>
      </w:r>
    </w:p>
    <w:p w14:paraId="180835D8">
      <w:pPr>
        <w:shd w:val="clear"/>
        <w:rPr>
          <w:rFonts w:ascii="宋体" w:hAnsi="宋体" w:cs="宋体"/>
          <w:b/>
          <w:color w:val="auto"/>
          <w:sz w:val="36"/>
          <w:highlight w:val="none"/>
        </w:rPr>
      </w:pPr>
      <w:r>
        <w:rPr>
          <w:rFonts w:hint="eastAsia" w:ascii="宋体" w:hAnsi="宋体" w:cs="宋体"/>
          <w:b/>
          <w:color w:val="auto"/>
          <w:sz w:val="36"/>
          <w:highlight w:val="none"/>
        </w:rPr>
        <w:t xml:space="preserve">  日      期 ：</w:t>
      </w:r>
    </w:p>
    <w:p w14:paraId="2D8836AD">
      <w:pPr>
        <w:shd w:val="clear"/>
        <w:spacing w:line="440" w:lineRule="exact"/>
        <w:jc w:val="center"/>
        <w:rPr>
          <w:rFonts w:ascii="宋体" w:hAnsi="宋体" w:cs="宋体"/>
          <w:b/>
          <w:bCs/>
          <w:color w:val="auto"/>
          <w:sz w:val="32"/>
          <w:szCs w:val="32"/>
          <w:highlight w:val="none"/>
        </w:rPr>
      </w:pPr>
    </w:p>
    <w:p w14:paraId="01204C0D">
      <w:pPr>
        <w:shd w:val="clear"/>
        <w:spacing w:line="440" w:lineRule="exact"/>
        <w:ind w:firstLine="480" w:firstLineChars="200"/>
        <w:rPr>
          <w:rFonts w:ascii="宋体" w:hAnsi="宋体" w:cs="宋体"/>
          <w:color w:val="auto"/>
          <w:sz w:val="24"/>
          <w:highlight w:val="none"/>
        </w:rPr>
      </w:pPr>
    </w:p>
    <w:p w14:paraId="784A2184">
      <w:pPr>
        <w:shd w:val="clear"/>
        <w:spacing w:line="440" w:lineRule="exact"/>
        <w:ind w:firstLine="480" w:firstLineChars="200"/>
        <w:rPr>
          <w:rFonts w:ascii="宋体" w:hAnsi="宋体" w:cs="宋体"/>
          <w:color w:val="auto"/>
          <w:sz w:val="24"/>
          <w:highlight w:val="none"/>
        </w:rPr>
      </w:pPr>
    </w:p>
    <w:p w14:paraId="2D88A6ED">
      <w:pPr>
        <w:shd w:val="clear"/>
        <w:spacing w:beforeLines="100" w:afterLines="100"/>
        <w:jc w:val="center"/>
        <w:rPr>
          <w:rFonts w:ascii="宋体" w:hAnsi="宋体" w:cs="宋体"/>
          <w:b/>
          <w:color w:val="auto"/>
          <w:szCs w:val="21"/>
          <w:highlight w:val="none"/>
        </w:rPr>
      </w:pPr>
      <w:r>
        <w:rPr>
          <w:rFonts w:hint="eastAsia" w:ascii="宋体" w:hAnsi="宋体" w:cs="宋体"/>
          <w:color w:val="auto"/>
          <w:sz w:val="24"/>
          <w:highlight w:val="none"/>
        </w:rPr>
        <w:br w:type="page"/>
      </w:r>
      <w:r>
        <w:rPr>
          <w:rFonts w:hint="eastAsia" w:ascii="宋体" w:hAnsi="宋体" w:cs="宋体"/>
          <w:b/>
          <w:color w:val="auto"/>
          <w:szCs w:val="21"/>
          <w:highlight w:val="none"/>
        </w:rPr>
        <w:t>评分索引表</w:t>
      </w:r>
    </w:p>
    <w:tbl>
      <w:tblPr>
        <w:tblStyle w:val="34"/>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8"/>
        <w:gridCol w:w="3292"/>
      </w:tblGrid>
      <w:tr w14:paraId="75FF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2088E39C">
            <w:pPr>
              <w:shd w:val="clear"/>
              <w:jc w:val="center"/>
              <w:rPr>
                <w:color w:val="auto"/>
                <w:highlight w:val="none"/>
              </w:rPr>
            </w:pPr>
            <w:r>
              <w:rPr>
                <w:rFonts w:hint="eastAsia"/>
                <w:color w:val="auto"/>
                <w:highlight w:val="none"/>
              </w:rPr>
              <w:t>评分项目</w:t>
            </w:r>
          </w:p>
        </w:tc>
        <w:tc>
          <w:tcPr>
            <w:tcW w:w="3292" w:type="dxa"/>
            <w:tcBorders>
              <w:top w:val="single" w:color="auto" w:sz="4" w:space="0"/>
              <w:left w:val="single" w:color="auto" w:sz="4" w:space="0"/>
              <w:bottom w:val="single" w:color="auto" w:sz="4" w:space="0"/>
              <w:right w:val="single" w:color="auto" w:sz="4" w:space="0"/>
            </w:tcBorders>
            <w:vAlign w:val="center"/>
          </w:tcPr>
          <w:p w14:paraId="52407733">
            <w:pPr>
              <w:shd w:val="clear"/>
              <w:jc w:val="center"/>
              <w:rPr>
                <w:color w:val="auto"/>
                <w:highlight w:val="none"/>
              </w:rPr>
            </w:pPr>
            <w:r>
              <w:rPr>
                <w:rFonts w:hint="eastAsia"/>
                <w:color w:val="auto"/>
                <w:highlight w:val="none"/>
              </w:rPr>
              <w:t>在投标文件中的页码位置</w:t>
            </w:r>
          </w:p>
        </w:tc>
      </w:tr>
      <w:tr w14:paraId="0CBB7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7461FF2F">
            <w:pPr>
              <w:shd w:val="clear"/>
              <w:jc w:val="center"/>
              <w:rPr>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660BA894">
            <w:pPr>
              <w:shd w:val="clear"/>
              <w:jc w:val="center"/>
              <w:rPr>
                <w:color w:val="auto"/>
                <w:highlight w:val="none"/>
              </w:rPr>
            </w:pPr>
          </w:p>
        </w:tc>
      </w:tr>
      <w:tr w14:paraId="4AE7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20" w:type="dxa"/>
            <w:gridSpan w:val="2"/>
            <w:tcBorders>
              <w:top w:val="single" w:color="auto" w:sz="4" w:space="0"/>
              <w:left w:val="single" w:color="auto" w:sz="4" w:space="0"/>
              <w:bottom w:val="single" w:color="auto" w:sz="4" w:space="0"/>
              <w:right w:val="single" w:color="auto" w:sz="4" w:space="0"/>
            </w:tcBorders>
            <w:vAlign w:val="center"/>
          </w:tcPr>
          <w:p w14:paraId="055CD18D">
            <w:pPr>
              <w:shd w:val="clear"/>
              <w:jc w:val="center"/>
              <w:rPr>
                <w:color w:val="auto"/>
                <w:highlight w:val="none"/>
              </w:rPr>
            </w:pPr>
          </w:p>
        </w:tc>
      </w:tr>
      <w:tr w14:paraId="6F3B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21CB69CB">
            <w:pPr>
              <w:shd w:val="clear"/>
              <w:jc w:val="center"/>
              <w:rPr>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0B827CFF">
            <w:pPr>
              <w:shd w:val="clear"/>
              <w:jc w:val="center"/>
              <w:rPr>
                <w:color w:val="auto"/>
                <w:highlight w:val="none"/>
              </w:rPr>
            </w:pPr>
          </w:p>
        </w:tc>
      </w:tr>
      <w:tr w14:paraId="268D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41C77D12">
            <w:pPr>
              <w:shd w:val="clear"/>
              <w:jc w:val="center"/>
              <w:rPr>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507054E8">
            <w:pPr>
              <w:shd w:val="clear"/>
              <w:jc w:val="center"/>
              <w:rPr>
                <w:color w:val="auto"/>
                <w:highlight w:val="none"/>
              </w:rPr>
            </w:pPr>
          </w:p>
        </w:tc>
      </w:tr>
      <w:tr w14:paraId="6A96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32E7B707">
            <w:pPr>
              <w:shd w:val="clear"/>
              <w:jc w:val="center"/>
              <w:rPr>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42FB877B">
            <w:pPr>
              <w:shd w:val="clear"/>
              <w:jc w:val="center"/>
              <w:rPr>
                <w:color w:val="auto"/>
                <w:highlight w:val="none"/>
              </w:rPr>
            </w:pPr>
          </w:p>
        </w:tc>
      </w:tr>
      <w:tr w14:paraId="1CD0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002FCC74">
            <w:pPr>
              <w:shd w:val="clear"/>
              <w:jc w:val="center"/>
              <w:rPr>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550DD278">
            <w:pPr>
              <w:shd w:val="clear"/>
              <w:jc w:val="center"/>
              <w:rPr>
                <w:color w:val="auto"/>
                <w:highlight w:val="none"/>
              </w:rPr>
            </w:pPr>
          </w:p>
        </w:tc>
      </w:tr>
      <w:tr w14:paraId="2E7F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22D1577D">
            <w:pPr>
              <w:shd w:val="clear"/>
              <w:jc w:val="center"/>
              <w:rPr>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2312EE0C">
            <w:pPr>
              <w:shd w:val="clear"/>
              <w:jc w:val="center"/>
              <w:rPr>
                <w:color w:val="auto"/>
                <w:highlight w:val="none"/>
              </w:rPr>
            </w:pPr>
          </w:p>
        </w:tc>
      </w:tr>
      <w:tr w14:paraId="02DD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0" w:type="dxa"/>
            <w:gridSpan w:val="2"/>
            <w:tcBorders>
              <w:top w:val="single" w:color="auto" w:sz="4" w:space="0"/>
              <w:left w:val="single" w:color="auto" w:sz="4" w:space="0"/>
              <w:bottom w:val="single" w:color="auto" w:sz="4" w:space="0"/>
              <w:right w:val="single" w:color="auto" w:sz="4" w:space="0"/>
            </w:tcBorders>
            <w:vAlign w:val="center"/>
          </w:tcPr>
          <w:p w14:paraId="496049C0">
            <w:pPr>
              <w:shd w:val="clear"/>
              <w:jc w:val="center"/>
              <w:rPr>
                <w:color w:val="auto"/>
                <w:highlight w:val="none"/>
              </w:rPr>
            </w:pPr>
          </w:p>
        </w:tc>
      </w:tr>
      <w:tr w14:paraId="7599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76CD8EBC">
            <w:pPr>
              <w:shd w:val="clear"/>
              <w:jc w:val="center"/>
              <w:rPr>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0CE51734">
            <w:pPr>
              <w:shd w:val="clear"/>
              <w:jc w:val="center"/>
              <w:rPr>
                <w:color w:val="auto"/>
                <w:highlight w:val="none"/>
              </w:rPr>
            </w:pPr>
          </w:p>
        </w:tc>
      </w:tr>
      <w:tr w14:paraId="3897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0EF61DEE">
            <w:pPr>
              <w:shd w:val="clear"/>
              <w:jc w:val="center"/>
              <w:rPr>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31121F3C">
            <w:pPr>
              <w:shd w:val="clear"/>
              <w:jc w:val="center"/>
              <w:rPr>
                <w:color w:val="auto"/>
                <w:highlight w:val="none"/>
              </w:rPr>
            </w:pPr>
          </w:p>
        </w:tc>
      </w:tr>
      <w:tr w14:paraId="36C9A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6151045D">
            <w:pPr>
              <w:shd w:val="clear"/>
              <w:jc w:val="center"/>
              <w:rPr>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52F8303F">
            <w:pPr>
              <w:shd w:val="clear"/>
              <w:jc w:val="center"/>
              <w:rPr>
                <w:color w:val="auto"/>
                <w:highlight w:val="none"/>
              </w:rPr>
            </w:pPr>
          </w:p>
        </w:tc>
      </w:tr>
      <w:tr w14:paraId="3007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05EDD3B3">
            <w:pPr>
              <w:shd w:val="clear"/>
              <w:jc w:val="center"/>
              <w:rPr>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57E7C953">
            <w:pPr>
              <w:shd w:val="clear"/>
              <w:jc w:val="center"/>
              <w:rPr>
                <w:color w:val="auto"/>
                <w:highlight w:val="none"/>
              </w:rPr>
            </w:pPr>
          </w:p>
        </w:tc>
      </w:tr>
      <w:tr w14:paraId="5B173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6F5FADC4">
            <w:pPr>
              <w:shd w:val="clear"/>
              <w:jc w:val="center"/>
              <w:rPr>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766E04EE">
            <w:pPr>
              <w:shd w:val="clear"/>
              <w:jc w:val="center"/>
              <w:rPr>
                <w:color w:val="auto"/>
                <w:highlight w:val="none"/>
              </w:rPr>
            </w:pPr>
          </w:p>
        </w:tc>
      </w:tr>
      <w:tr w14:paraId="6017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520" w:type="dxa"/>
            <w:gridSpan w:val="2"/>
            <w:tcBorders>
              <w:top w:val="single" w:color="auto" w:sz="4" w:space="0"/>
              <w:left w:val="single" w:color="auto" w:sz="4" w:space="0"/>
              <w:bottom w:val="single" w:color="auto" w:sz="4" w:space="0"/>
              <w:right w:val="single" w:color="auto" w:sz="4" w:space="0"/>
            </w:tcBorders>
            <w:vAlign w:val="center"/>
          </w:tcPr>
          <w:p w14:paraId="4F4F2E07">
            <w:pPr>
              <w:shd w:val="clear"/>
              <w:jc w:val="center"/>
              <w:rPr>
                <w:color w:val="auto"/>
                <w:highlight w:val="none"/>
              </w:rPr>
            </w:pPr>
          </w:p>
        </w:tc>
      </w:tr>
      <w:tr w14:paraId="74E0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2CF49AE6">
            <w:pPr>
              <w:shd w:val="clear"/>
              <w:jc w:val="center"/>
              <w:rPr>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09B07B7A">
            <w:pPr>
              <w:shd w:val="clear"/>
              <w:jc w:val="center"/>
              <w:rPr>
                <w:color w:val="auto"/>
                <w:highlight w:val="none"/>
              </w:rPr>
            </w:pPr>
          </w:p>
        </w:tc>
      </w:tr>
      <w:tr w14:paraId="43DE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3E7229AA">
            <w:pPr>
              <w:shd w:val="clear"/>
              <w:jc w:val="center"/>
              <w:rPr>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1159CEC5">
            <w:pPr>
              <w:shd w:val="clear"/>
              <w:jc w:val="center"/>
              <w:rPr>
                <w:color w:val="auto"/>
                <w:highlight w:val="none"/>
              </w:rPr>
            </w:pPr>
          </w:p>
        </w:tc>
      </w:tr>
      <w:tr w14:paraId="60FB0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3597C497">
            <w:pPr>
              <w:shd w:val="clear"/>
              <w:jc w:val="center"/>
              <w:rPr>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7A1DB139">
            <w:pPr>
              <w:shd w:val="clear"/>
              <w:jc w:val="center"/>
              <w:rPr>
                <w:color w:val="auto"/>
                <w:highlight w:val="none"/>
              </w:rPr>
            </w:pPr>
          </w:p>
        </w:tc>
      </w:tr>
      <w:tr w14:paraId="6828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520" w:type="dxa"/>
            <w:gridSpan w:val="2"/>
            <w:tcBorders>
              <w:top w:val="single" w:color="auto" w:sz="4" w:space="0"/>
              <w:left w:val="single" w:color="auto" w:sz="4" w:space="0"/>
              <w:bottom w:val="single" w:color="auto" w:sz="4" w:space="0"/>
              <w:right w:val="single" w:color="auto" w:sz="4" w:space="0"/>
            </w:tcBorders>
            <w:vAlign w:val="center"/>
          </w:tcPr>
          <w:p w14:paraId="33D3DC0F">
            <w:pPr>
              <w:shd w:val="clear"/>
              <w:jc w:val="center"/>
              <w:rPr>
                <w:color w:val="auto"/>
                <w:highlight w:val="none"/>
              </w:rPr>
            </w:pPr>
          </w:p>
        </w:tc>
      </w:tr>
      <w:tr w14:paraId="1E9C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4E4DA6B7">
            <w:pPr>
              <w:shd w:val="clear"/>
              <w:jc w:val="center"/>
              <w:rPr>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0B376A99">
            <w:pPr>
              <w:shd w:val="clear"/>
              <w:jc w:val="center"/>
              <w:rPr>
                <w:color w:val="auto"/>
                <w:highlight w:val="none"/>
              </w:rPr>
            </w:pPr>
          </w:p>
        </w:tc>
      </w:tr>
      <w:tr w14:paraId="3849D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228" w:type="dxa"/>
            <w:tcBorders>
              <w:top w:val="single" w:color="auto" w:sz="4" w:space="0"/>
              <w:left w:val="single" w:color="auto" w:sz="4" w:space="0"/>
              <w:bottom w:val="single" w:color="auto" w:sz="4" w:space="0"/>
              <w:right w:val="single" w:color="auto" w:sz="4" w:space="0"/>
            </w:tcBorders>
            <w:vAlign w:val="center"/>
          </w:tcPr>
          <w:p w14:paraId="2DAB383A">
            <w:pPr>
              <w:shd w:val="clear"/>
              <w:jc w:val="center"/>
              <w:rPr>
                <w:color w:val="auto"/>
                <w:highlight w:val="none"/>
              </w:rPr>
            </w:pPr>
          </w:p>
        </w:tc>
        <w:tc>
          <w:tcPr>
            <w:tcW w:w="3292" w:type="dxa"/>
            <w:tcBorders>
              <w:top w:val="single" w:color="auto" w:sz="4" w:space="0"/>
              <w:left w:val="single" w:color="auto" w:sz="4" w:space="0"/>
              <w:bottom w:val="single" w:color="auto" w:sz="4" w:space="0"/>
              <w:right w:val="single" w:color="auto" w:sz="4" w:space="0"/>
            </w:tcBorders>
            <w:vAlign w:val="center"/>
          </w:tcPr>
          <w:p w14:paraId="47122FE9">
            <w:pPr>
              <w:shd w:val="clear"/>
              <w:jc w:val="center"/>
              <w:rPr>
                <w:color w:val="auto"/>
                <w:highlight w:val="none"/>
              </w:rPr>
            </w:pPr>
          </w:p>
        </w:tc>
      </w:tr>
    </w:tbl>
    <w:p w14:paraId="70714C00">
      <w:pPr>
        <w:shd w:val="clear"/>
        <w:rPr>
          <w:rFonts w:ascii="宋体" w:hAnsi="宋体" w:cs="宋体"/>
          <w:color w:val="auto"/>
          <w:highlight w:val="none"/>
        </w:rPr>
      </w:pPr>
    </w:p>
    <w:p w14:paraId="26F9CA30">
      <w:pPr>
        <w:shd w:val="clear"/>
        <w:spacing w:afterLines="100" w:line="360" w:lineRule="auto"/>
        <w:jc w:val="center"/>
        <w:rPr>
          <w:rFonts w:ascii="宋体" w:hAnsi="宋体" w:cs="宋体"/>
          <w:b/>
          <w:bCs/>
          <w:color w:val="auto"/>
          <w:kern w:val="0"/>
          <w:szCs w:val="21"/>
          <w:highlight w:val="none"/>
        </w:rPr>
      </w:pPr>
      <w:r>
        <w:rPr>
          <w:rFonts w:hint="eastAsia" w:ascii="宋体" w:hAnsi="宋体" w:cs="宋体"/>
          <w:b/>
          <w:color w:val="auto"/>
          <w:sz w:val="36"/>
          <w:highlight w:val="none"/>
          <w:u w:val="single"/>
        </w:rPr>
        <w:br w:type="page"/>
      </w:r>
      <w:r>
        <w:rPr>
          <w:rFonts w:hint="eastAsia" w:ascii="宋体" w:hAnsi="宋体" w:cs="宋体"/>
          <w:b/>
          <w:bCs/>
          <w:color w:val="auto"/>
          <w:szCs w:val="21"/>
          <w:highlight w:val="none"/>
        </w:rPr>
        <w:t>投标主要文件目录</w:t>
      </w:r>
    </w:p>
    <w:p w14:paraId="110985A8">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一、资格性和符合性检查响应对照表</w:t>
      </w:r>
    </w:p>
    <w:p w14:paraId="3FD8EB98">
      <w:pPr>
        <w:keepNext w:val="0"/>
        <w:keepLines w:val="0"/>
        <w:pageBreakBefore w:val="0"/>
        <w:widowControl w:val="0"/>
        <w:shd w:val="clear" w:color="auto"/>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二</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资格证明文件</w:t>
      </w:r>
    </w:p>
    <w:p w14:paraId="62C9D22F">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三、开标一览表</w:t>
      </w:r>
    </w:p>
    <w:p w14:paraId="78D0B641">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四、分项报价表</w:t>
      </w:r>
    </w:p>
    <w:p w14:paraId="345BC968">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五、项目组人员配置</w:t>
      </w:r>
    </w:p>
    <w:p w14:paraId="5FA49A64">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六、技术参数响应及偏离表</w:t>
      </w:r>
    </w:p>
    <w:p w14:paraId="059B3E88">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七、商务条款响应及偏离表</w:t>
      </w:r>
    </w:p>
    <w:p w14:paraId="42D5FC70">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八、</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方案</w:t>
      </w:r>
    </w:p>
    <w:p w14:paraId="01CBCFAD">
      <w:pPr>
        <w:shd w:val="clear"/>
        <w:jc w:val="left"/>
        <w:rPr>
          <w:rFonts w:ascii="宋体" w:hAnsi="宋体" w:cs="宋体"/>
          <w:color w:val="auto"/>
          <w:szCs w:val="21"/>
          <w:highlight w:val="none"/>
        </w:rPr>
      </w:pPr>
    </w:p>
    <w:p w14:paraId="3082C7D6">
      <w:pPr>
        <w:shd w:val="clear"/>
        <w:ind w:left="420" w:leftChars="200"/>
        <w:rPr>
          <w:rFonts w:ascii="宋体" w:hAnsi="宋体" w:cs="宋体"/>
          <w:b/>
          <w:color w:val="auto"/>
          <w:szCs w:val="21"/>
          <w:highlight w:val="none"/>
        </w:rPr>
      </w:pPr>
      <w:r>
        <w:rPr>
          <w:rFonts w:hint="eastAsia" w:ascii="宋体" w:hAnsi="宋体" w:cs="宋体"/>
          <w:b/>
          <w:color w:val="auto"/>
          <w:szCs w:val="21"/>
          <w:highlight w:val="none"/>
        </w:rPr>
        <w:t>............</w:t>
      </w:r>
    </w:p>
    <w:p w14:paraId="4317030D">
      <w:pPr>
        <w:shd w:val="clear"/>
        <w:jc w:val="left"/>
        <w:rPr>
          <w:rFonts w:ascii="宋体" w:hAnsi="宋体" w:cs="宋体"/>
          <w:b/>
          <w:color w:val="auto"/>
          <w:szCs w:val="21"/>
          <w:highlight w:val="none"/>
        </w:rPr>
      </w:pPr>
    </w:p>
    <w:p w14:paraId="421FA3CF">
      <w:pPr>
        <w:shd w:val="clear"/>
        <w:jc w:val="left"/>
        <w:rPr>
          <w:rFonts w:ascii="宋体" w:hAnsi="宋体" w:cs="宋体"/>
          <w:b/>
          <w:color w:val="auto"/>
          <w:szCs w:val="21"/>
          <w:highlight w:val="none"/>
        </w:rPr>
      </w:pPr>
    </w:p>
    <w:p w14:paraId="4B496284">
      <w:pPr>
        <w:shd w:val="clear"/>
        <w:rPr>
          <w:rFonts w:ascii="宋体" w:hAnsi="宋体" w:cs="宋体"/>
          <w:b/>
          <w:color w:val="auto"/>
          <w:szCs w:val="21"/>
          <w:highlight w:val="none"/>
        </w:rPr>
      </w:pPr>
      <w:r>
        <w:rPr>
          <w:rFonts w:hint="eastAsia" w:ascii="宋体" w:hAnsi="宋体" w:cs="宋体"/>
          <w:b/>
          <w:color w:val="auto"/>
          <w:szCs w:val="21"/>
          <w:highlight w:val="none"/>
        </w:rPr>
        <w:br w:type="page"/>
      </w:r>
    </w:p>
    <w:p w14:paraId="10AF0F64">
      <w:pPr>
        <w:shd w:val="clear"/>
        <w:spacing w:afterLines="100" w:line="360" w:lineRule="auto"/>
        <w:jc w:val="center"/>
        <w:rPr>
          <w:rFonts w:ascii="宋体" w:hAnsi="宋体" w:cs="宋体"/>
          <w:b/>
          <w:color w:val="auto"/>
          <w:szCs w:val="21"/>
          <w:highlight w:val="none"/>
        </w:rPr>
      </w:pPr>
      <w:r>
        <w:rPr>
          <w:rFonts w:hint="eastAsia" w:ascii="宋体" w:hAnsi="宋体" w:cs="宋体"/>
          <w:b/>
          <w:color w:val="auto"/>
          <w:szCs w:val="21"/>
          <w:highlight w:val="none"/>
        </w:rPr>
        <w:t>一、资格性和符合性检查响应对照表</w:t>
      </w:r>
    </w:p>
    <w:p w14:paraId="706A96A0">
      <w:pPr>
        <w:shd w:val="clear"/>
        <w:spacing w:afterLines="100" w:line="360" w:lineRule="auto"/>
        <w:ind w:right="210" w:rightChars="100" w:firstLine="306"/>
        <w:rPr>
          <w:rFonts w:ascii="宋体" w:hAnsi="宋体" w:cs="宋体"/>
          <w:color w:val="auto"/>
          <w:szCs w:val="21"/>
          <w:highlight w:val="none"/>
        </w:rPr>
      </w:pPr>
      <w:r>
        <w:rPr>
          <w:rFonts w:hint="eastAsia" w:ascii="宋体" w:hAnsi="宋体" w:cs="宋体"/>
          <w:color w:val="auto"/>
          <w:szCs w:val="21"/>
          <w:highlight w:val="none"/>
        </w:rPr>
        <w:t>投标人全称（加盖公章）：</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5396"/>
        <w:gridCol w:w="1839"/>
        <w:gridCol w:w="1794"/>
      </w:tblGrid>
      <w:tr w14:paraId="3958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2A58D272">
            <w:pPr>
              <w:shd w:val="clear"/>
              <w:adjustRightInd w:val="0"/>
              <w:snapToGrid w:val="0"/>
              <w:spacing w:after="200" w:line="240" w:lineRule="atLeast"/>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773" w:type="pct"/>
            <w:tcBorders>
              <w:top w:val="single" w:color="auto" w:sz="4" w:space="0"/>
              <w:left w:val="single" w:color="auto" w:sz="4" w:space="0"/>
              <w:bottom w:val="single" w:color="auto" w:sz="4" w:space="0"/>
              <w:right w:val="single" w:color="auto" w:sz="4" w:space="0"/>
            </w:tcBorders>
            <w:vAlign w:val="center"/>
          </w:tcPr>
          <w:p w14:paraId="34F6B1D3">
            <w:pPr>
              <w:shd w:val="clear"/>
              <w:adjustRightInd w:val="0"/>
              <w:snapToGrid w:val="0"/>
              <w:spacing w:after="200" w:line="240" w:lineRule="atLeast"/>
              <w:jc w:val="center"/>
              <w:rPr>
                <w:rFonts w:ascii="宋体" w:hAnsi="宋体" w:cs="宋体"/>
                <w:b/>
                <w:color w:val="auto"/>
                <w:szCs w:val="21"/>
                <w:highlight w:val="none"/>
              </w:rPr>
            </w:pPr>
            <w:r>
              <w:rPr>
                <w:rFonts w:hint="eastAsia" w:ascii="宋体" w:hAnsi="宋体" w:cs="宋体"/>
                <w:b/>
                <w:color w:val="auto"/>
                <w:szCs w:val="21"/>
                <w:highlight w:val="none"/>
              </w:rPr>
              <w:t>资格性和符合性检查响应内容</w:t>
            </w:r>
          </w:p>
        </w:tc>
        <w:tc>
          <w:tcPr>
            <w:tcW w:w="945" w:type="pct"/>
            <w:tcBorders>
              <w:top w:val="single" w:color="auto" w:sz="4" w:space="0"/>
              <w:left w:val="single" w:color="auto" w:sz="4" w:space="0"/>
              <w:bottom w:val="single" w:color="auto" w:sz="4" w:space="0"/>
              <w:right w:val="single" w:color="auto" w:sz="4" w:space="0"/>
            </w:tcBorders>
            <w:vAlign w:val="center"/>
          </w:tcPr>
          <w:p w14:paraId="5F5D63B0">
            <w:pPr>
              <w:shd w:val="clea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是否响应</w:t>
            </w:r>
          </w:p>
          <w:p w14:paraId="057E84A6">
            <w:pPr>
              <w:shd w:val="clear"/>
              <w:adjustRightInd w:val="0"/>
              <w:snapToGrid w:val="0"/>
              <w:spacing w:after="200" w:line="240" w:lineRule="atLeast"/>
              <w:jc w:val="center"/>
              <w:rPr>
                <w:rFonts w:ascii="宋体" w:hAnsi="宋体" w:cs="宋体"/>
                <w:b/>
                <w:color w:val="auto"/>
                <w:szCs w:val="21"/>
                <w:highlight w:val="none"/>
              </w:rPr>
            </w:pPr>
            <w:r>
              <w:rPr>
                <w:rFonts w:hint="eastAsia" w:ascii="宋体" w:hAnsi="宋体" w:cs="宋体"/>
                <w:b/>
                <w:color w:val="auto"/>
                <w:szCs w:val="21"/>
                <w:highlight w:val="none"/>
              </w:rPr>
              <w:t>（填是或者否）</w:t>
            </w:r>
          </w:p>
        </w:tc>
        <w:tc>
          <w:tcPr>
            <w:tcW w:w="922" w:type="pct"/>
            <w:tcBorders>
              <w:top w:val="single" w:color="auto" w:sz="4" w:space="0"/>
              <w:left w:val="single" w:color="auto" w:sz="4" w:space="0"/>
              <w:bottom w:val="single" w:color="auto" w:sz="4" w:space="0"/>
              <w:right w:val="single" w:color="auto" w:sz="4" w:space="0"/>
            </w:tcBorders>
            <w:vAlign w:val="center"/>
          </w:tcPr>
          <w:p w14:paraId="51F8E72C">
            <w:pPr>
              <w:shd w:val="clear"/>
              <w:spacing w:line="240" w:lineRule="atLeast"/>
              <w:jc w:val="center"/>
              <w:rPr>
                <w:rFonts w:ascii="宋体" w:hAnsi="宋体" w:cs="宋体"/>
                <w:b/>
                <w:color w:val="auto"/>
                <w:szCs w:val="21"/>
                <w:highlight w:val="none"/>
              </w:rPr>
            </w:pPr>
            <w:r>
              <w:rPr>
                <w:rFonts w:hint="eastAsia" w:ascii="宋体" w:hAnsi="宋体" w:cs="宋体"/>
                <w:b/>
                <w:color w:val="auto"/>
                <w:szCs w:val="21"/>
                <w:highlight w:val="none"/>
              </w:rPr>
              <w:t>投标文件中的</w:t>
            </w:r>
          </w:p>
          <w:p w14:paraId="4B307780">
            <w:pPr>
              <w:shd w:val="clear"/>
              <w:adjustRightInd w:val="0"/>
              <w:snapToGrid w:val="0"/>
              <w:spacing w:after="200" w:line="240" w:lineRule="atLeast"/>
              <w:jc w:val="center"/>
              <w:rPr>
                <w:rFonts w:ascii="宋体" w:hAnsi="宋体" w:cs="宋体"/>
                <w:b/>
                <w:color w:val="auto"/>
                <w:szCs w:val="21"/>
                <w:highlight w:val="none"/>
              </w:rPr>
            </w:pPr>
            <w:r>
              <w:rPr>
                <w:rFonts w:hint="eastAsia" w:ascii="宋体" w:hAnsi="宋体" w:cs="宋体"/>
                <w:b/>
                <w:color w:val="auto"/>
                <w:szCs w:val="21"/>
                <w:highlight w:val="none"/>
              </w:rPr>
              <w:t>页码位置</w:t>
            </w:r>
          </w:p>
        </w:tc>
      </w:tr>
      <w:tr w14:paraId="428B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06AF6B9F">
            <w:pPr>
              <w:shd w:val="clear"/>
              <w:adjustRightInd w:val="0"/>
              <w:snapToGrid w:val="0"/>
              <w:spacing w:after="200" w:line="220" w:lineRule="atLeast"/>
              <w:jc w:val="center"/>
              <w:rPr>
                <w:rFonts w:ascii="宋体" w:hAnsi="宋体" w:cs="宋体"/>
                <w:bCs/>
                <w:i/>
                <w:color w:val="auto"/>
                <w:szCs w:val="21"/>
                <w:highlight w:val="none"/>
                <w:u w:val="single"/>
              </w:rPr>
            </w:pPr>
            <w:r>
              <w:rPr>
                <w:rFonts w:hint="eastAsia" w:cs="宋体"/>
                <w:bCs/>
                <w:i/>
                <w:color w:val="auto"/>
                <w:szCs w:val="21"/>
                <w:highlight w:val="none"/>
                <w:u w:val="single"/>
              </w:rPr>
              <w:t>1</w:t>
            </w:r>
          </w:p>
        </w:tc>
        <w:tc>
          <w:tcPr>
            <w:tcW w:w="2773" w:type="pct"/>
            <w:tcBorders>
              <w:top w:val="single" w:color="auto" w:sz="4" w:space="0"/>
              <w:left w:val="single" w:color="auto" w:sz="4" w:space="0"/>
              <w:bottom w:val="single" w:color="auto" w:sz="4" w:space="0"/>
              <w:right w:val="single" w:color="auto" w:sz="4" w:space="0"/>
            </w:tcBorders>
            <w:vAlign w:val="center"/>
          </w:tcPr>
          <w:p w14:paraId="1A6A761C">
            <w:pPr>
              <w:shd w:val="clear"/>
              <w:adjustRightInd w:val="0"/>
              <w:snapToGrid w:val="0"/>
              <w:spacing w:after="200" w:line="480" w:lineRule="exact"/>
              <w:rPr>
                <w:rFonts w:ascii="宋体" w:hAnsi="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14:paraId="12C77D99">
            <w:pPr>
              <w:shd w:val="clear"/>
              <w:adjustRightInd w:val="0"/>
              <w:snapToGrid w:val="0"/>
              <w:spacing w:after="200" w:line="220" w:lineRule="atLeast"/>
              <w:rPr>
                <w:rFonts w:ascii="宋体" w:hAnsi="宋体" w:cs="宋体"/>
                <w:b/>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0FADB253">
            <w:pPr>
              <w:shd w:val="clear"/>
              <w:adjustRightInd w:val="0"/>
              <w:snapToGrid w:val="0"/>
              <w:spacing w:after="200" w:line="220" w:lineRule="atLeast"/>
              <w:rPr>
                <w:rFonts w:ascii="宋体" w:hAnsi="宋体" w:cs="宋体"/>
                <w:b/>
                <w:color w:val="auto"/>
                <w:szCs w:val="21"/>
                <w:highlight w:val="none"/>
              </w:rPr>
            </w:pPr>
          </w:p>
        </w:tc>
      </w:tr>
      <w:tr w14:paraId="02B6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5C95761D">
            <w:pPr>
              <w:shd w:val="clear"/>
              <w:adjustRightInd w:val="0"/>
              <w:snapToGrid w:val="0"/>
              <w:spacing w:after="200" w:line="220" w:lineRule="atLeast"/>
              <w:jc w:val="center"/>
              <w:rPr>
                <w:rFonts w:ascii="宋体" w:hAnsi="宋体" w:cs="宋体"/>
                <w:bCs/>
                <w:i/>
                <w:color w:val="auto"/>
                <w:szCs w:val="21"/>
                <w:highlight w:val="none"/>
                <w:u w:val="single"/>
              </w:rPr>
            </w:pPr>
            <w:r>
              <w:rPr>
                <w:rFonts w:hint="eastAsia" w:cs="宋体"/>
                <w:bCs/>
                <w:i/>
                <w:color w:val="auto"/>
                <w:szCs w:val="21"/>
                <w:highlight w:val="none"/>
                <w:u w:val="single"/>
              </w:rPr>
              <w:t>2</w:t>
            </w:r>
          </w:p>
        </w:tc>
        <w:tc>
          <w:tcPr>
            <w:tcW w:w="2773" w:type="pct"/>
            <w:tcBorders>
              <w:top w:val="single" w:color="auto" w:sz="4" w:space="0"/>
              <w:left w:val="single" w:color="auto" w:sz="4" w:space="0"/>
              <w:bottom w:val="single" w:color="auto" w:sz="4" w:space="0"/>
              <w:right w:val="single" w:color="auto" w:sz="4" w:space="0"/>
            </w:tcBorders>
            <w:vAlign w:val="center"/>
          </w:tcPr>
          <w:p w14:paraId="046CD4FD">
            <w:pPr>
              <w:shd w:val="clear"/>
              <w:adjustRightInd w:val="0"/>
              <w:snapToGrid w:val="0"/>
              <w:spacing w:after="200" w:line="480" w:lineRule="exact"/>
              <w:rPr>
                <w:rFonts w:ascii="宋体" w:hAnsi="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14:paraId="40325684">
            <w:pPr>
              <w:shd w:val="clear"/>
              <w:adjustRightInd w:val="0"/>
              <w:snapToGrid w:val="0"/>
              <w:spacing w:after="200" w:line="220" w:lineRule="atLeast"/>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15F19645">
            <w:pPr>
              <w:shd w:val="clear"/>
              <w:adjustRightInd w:val="0"/>
              <w:snapToGrid w:val="0"/>
              <w:spacing w:after="200" w:line="220" w:lineRule="atLeast"/>
              <w:rPr>
                <w:rFonts w:ascii="宋体" w:hAnsi="宋体" w:cs="宋体"/>
                <w:color w:val="auto"/>
                <w:szCs w:val="21"/>
                <w:highlight w:val="none"/>
              </w:rPr>
            </w:pPr>
          </w:p>
        </w:tc>
      </w:tr>
      <w:tr w14:paraId="4679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E37D441">
            <w:pPr>
              <w:shd w:val="clear"/>
              <w:adjustRightInd w:val="0"/>
              <w:snapToGrid w:val="0"/>
              <w:spacing w:after="200" w:line="220" w:lineRule="atLeast"/>
              <w:jc w:val="center"/>
              <w:rPr>
                <w:rFonts w:ascii="宋体" w:hAnsi="宋体" w:cs="宋体"/>
                <w:bCs/>
                <w:i/>
                <w:color w:val="auto"/>
                <w:szCs w:val="21"/>
                <w:highlight w:val="none"/>
                <w:u w:val="single"/>
              </w:rPr>
            </w:pPr>
            <w:r>
              <w:rPr>
                <w:rFonts w:hint="eastAsia" w:cs="宋体"/>
                <w:bCs/>
                <w:i/>
                <w:color w:val="auto"/>
                <w:szCs w:val="21"/>
                <w:highlight w:val="none"/>
                <w:u w:val="single"/>
              </w:rPr>
              <w:t>3</w:t>
            </w:r>
          </w:p>
        </w:tc>
        <w:tc>
          <w:tcPr>
            <w:tcW w:w="2773" w:type="pct"/>
            <w:tcBorders>
              <w:top w:val="single" w:color="auto" w:sz="4" w:space="0"/>
              <w:left w:val="single" w:color="auto" w:sz="4" w:space="0"/>
              <w:bottom w:val="single" w:color="auto" w:sz="4" w:space="0"/>
              <w:right w:val="single" w:color="auto" w:sz="4" w:space="0"/>
            </w:tcBorders>
            <w:vAlign w:val="center"/>
          </w:tcPr>
          <w:p w14:paraId="74696E3F">
            <w:pPr>
              <w:shd w:val="clear"/>
              <w:adjustRightInd w:val="0"/>
              <w:snapToGrid w:val="0"/>
              <w:spacing w:after="200" w:line="480" w:lineRule="exact"/>
              <w:rPr>
                <w:rFonts w:ascii="宋体" w:hAnsi="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14:paraId="6BF1B7D9">
            <w:pPr>
              <w:shd w:val="clear"/>
              <w:adjustRightInd w:val="0"/>
              <w:snapToGrid w:val="0"/>
              <w:spacing w:after="200" w:line="220" w:lineRule="atLeast"/>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3480CE1B">
            <w:pPr>
              <w:shd w:val="clear"/>
              <w:adjustRightInd w:val="0"/>
              <w:snapToGrid w:val="0"/>
              <w:spacing w:after="200" w:line="220" w:lineRule="atLeast"/>
              <w:rPr>
                <w:rFonts w:ascii="宋体" w:hAnsi="宋体" w:cs="宋体"/>
                <w:color w:val="auto"/>
                <w:szCs w:val="21"/>
                <w:highlight w:val="none"/>
              </w:rPr>
            </w:pPr>
          </w:p>
        </w:tc>
      </w:tr>
      <w:tr w14:paraId="30BB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5123B082">
            <w:pPr>
              <w:shd w:val="clear"/>
              <w:adjustRightInd w:val="0"/>
              <w:snapToGrid w:val="0"/>
              <w:spacing w:after="200" w:line="220" w:lineRule="atLeast"/>
              <w:jc w:val="center"/>
              <w:rPr>
                <w:rFonts w:ascii="宋体" w:hAnsi="宋体" w:cs="宋体"/>
                <w:bCs/>
                <w:i/>
                <w:color w:val="auto"/>
                <w:szCs w:val="21"/>
                <w:highlight w:val="none"/>
                <w:u w:val="single"/>
              </w:rPr>
            </w:pPr>
            <w:r>
              <w:rPr>
                <w:rFonts w:hint="eastAsia" w:cs="宋体"/>
                <w:bCs/>
                <w:i/>
                <w:color w:val="auto"/>
                <w:szCs w:val="21"/>
                <w:highlight w:val="none"/>
                <w:u w:val="single"/>
              </w:rPr>
              <w:t>4</w:t>
            </w:r>
          </w:p>
        </w:tc>
        <w:tc>
          <w:tcPr>
            <w:tcW w:w="2773" w:type="pct"/>
            <w:tcBorders>
              <w:top w:val="single" w:color="auto" w:sz="4" w:space="0"/>
              <w:left w:val="single" w:color="auto" w:sz="4" w:space="0"/>
              <w:bottom w:val="single" w:color="auto" w:sz="4" w:space="0"/>
              <w:right w:val="single" w:color="auto" w:sz="4" w:space="0"/>
            </w:tcBorders>
            <w:vAlign w:val="center"/>
          </w:tcPr>
          <w:p w14:paraId="7C30DAF5">
            <w:pPr>
              <w:shd w:val="clear"/>
              <w:adjustRightInd w:val="0"/>
              <w:snapToGrid w:val="0"/>
              <w:spacing w:after="200" w:line="360" w:lineRule="auto"/>
              <w:rPr>
                <w:rFonts w:ascii="宋体" w:hAnsi="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14:paraId="476D242C">
            <w:pPr>
              <w:shd w:val="clear"/>
              <w:adjustRightInd w:val="0"/>
              <w:snapToGrid w:val="0"/>
              <w:spacing w:after="200" w:line="220" w:lineRule="atLeast"/>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33663FE3">
            <w:pPr>
              <w:shd w:val="clear"/>
              <w:adjustRightInd w:val="0"/>
              <w:snapToGrid w:val="0"/>
              <w:spacing w:after="200" w:line="220" w:lineRule="atLeast"/>
              <w:rPr>
                <w:rFonts w:ascii="宋体" w:hAnsi="宋体" w:cs="宋体"/>
                <w:color w:val="auto"/>
                <w:szCs w:val="21"/>
                <w:highlight w:val="none"/>
              </w:rPr>
            </w:pPr>
          </w:p>
        </w:tc>
      </w:tr>
      <w:tr w14:paraId="2B87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21FD4C47">
            <w:pPr>
              <w:shd w:val="clear"/>
              <w:adjustRightInd w:val="0"/>
              <w:snapToGrid w:val="0"/>
              <w:spacing w:after="200" w:line="220" w:lineRule="atLeast"/>
              <w:jc w:val="center"/>
              <w:rPr>
                <w:rFonts w:ascii="宋体" w:hAnsi="宋体" w:cs="宋体"/>
                <w:bCs/>
                <w:i/>
                <w:color w:val="auto"/>
                <w:szCs w:val="21"/>
                <w:highlight w:val="none"/>
                <w:u w:val="single"/>
              </w:rPr>
            </w:pPr>
            <w:r>
              <w:rPr>
                <w:rFonts w:hint="eastAsia" w:cs="宋体"/>
                <w:bCs/>
                <w:i/>
                <w:color w:val="auto"/>
                <w:szCs w:val="21"/>
                <w:highlight w:val="none"/>
                <w:u w:val="single"/>
              </w:rPr>
              <w:t>5</w:t>
            </w:r>
          </w:p>
        </w:tc>
        <w:tc>
          <w:tcPr>
            <w:tcW w:w="2773" w:type="pct"/>
            <w:tcBorders>
              <w:top w:val="single" w:color="auto" w:sz="4" w:space="0"/>
              <w:left w:val="single" w:color="auto" w:sz="4" w:space="0"/>
              <w:bottom w:val="single" w:color="auto" w:sz="4" w:space="0"/>
              <w:right w:val="single" w:color="auto" w:sz="4" w:space="0"/>
            </w:tcBorders>
            <w:vAlign w:val="center"/>
          </w:tcPr>
          <w:p w14:paraId="50DE9113">
            <w:pPr>
              <w:shd w:val="clear"/>
              <w:adjustRightInd w:val="0"/>
              <w:snapToGrid w:val="0"/>
              <w:spacing w:after="200" w:line="590" w:lineRule="atLeast"/>
              <w:rPr>
                <w:rFonts w:ascii="宋体" w:hAnsi="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14:paraId="04F8CD85">
            <w:pPr>
              <w:shd w:val="clear"/>
              <w:adjustRightInd w:val="0"/>
              <w:snapToGrid w:val="0"/>
              <w:spacing w:after="200" w:line="220" w:lineRule="atLeast"/>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6E51B500">
            <w:pPr>
              <w:shd w:val="clear"/>
              <w:adjustRightInd w:val="0"/>
              <w:snapToGrid w:val="0"/>
              <w:spacing w:after="200" w:line="220" w:lineRule="atLeast"/>
              <w:rPr>
                <w:rFonts w:ascii="宋体" w:hAnsi="宋体" w:cs="宋体"/>
                <w:color w:val="auto"/>
                <w:highlight w:val="none"/>
              </w:rPr>
            </w:pPr>
          </w:p>
        </w:tc>
      </w:tr>
      <w:tr w14:paraId="2B3A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FF149AF">
            <w:pPr>
              <w:shd w:val="clear"/>
              <w:adjustRightInd w:val="0"/>
              <w:snapToGrid w:val="0"/>
              <w:spacing w:after="200" w:line="220" w:lineRule="atLeast"/>
              <w:jc w:val="center"/>
              <w:rPr>
                <w:rFonts w:ascii="宋体" w:hAnsi="宋体" w:cs="宋体"/>
                <w:bCs/>
                <w:i/>
                <w:color w:val="auto"/>
                <w:szCs w:val="21"/>
                <w:highlight w:val="none"/>
                <w:u w:val="single"/>
              </w:rPr>
            </w:pPr>
            <w:r>
              <w:rPr>
                <w:rFonts w:hint="eastAsia" w:cs="宋体"/>
                <w:bCs/>
                <w:i/>
                <w:color w:val="auto"/>
                <w:szCs w:val="21"/>
                <w:highlight w:val="none"/>
                <w:u w:val="single"/>
              </w:rPr>
              <w:t>6</w:t>
            </w:r>
          </w:p>
        </w:tc>
        <w:tc>
          <w:tcPr>
            <w:tcW w:w="2773" w:type="pct"/>
            <w:tcBorders>
              <w:top w:val="single" w:color="auto" w:sz="4" w:space="0"/>
              <w:left w:val="single" w:color="auto" w:sz="4" w:space="0"/>
              <w:bottom w:val="single" w:color="auto" w:sz="4" w:space="0"/>
              <w:right w:val="single" w:color="auto" w:sz="4" w:space="0"/>
            </w:tcBorders>
            <w:vAlign w:val="center"/>
          </w:tcPr>
          <w:p w14:paraId="317C4FBB">
            <w:pPr>
              <w:shd w:val="clear"/>
              <w:adjustRightInd w:val="0"/>
              <w:snapToGrid w:val="0"/>
              <w:spacing w:after="200" w:line="590" w:lineRule="atLeast"/>
              <w:rPr>
                <w:rFonts w:ascii="宋体" w:hAnsi="宋体" w:cs="宋体"/>
                <w:i/>
                <w:iCs/>
                <w:color w:val="auto"/>
                <w:szCs w:val="21"/>
                <w:highlight w:val="none"/>
                <w:u w:val="single"/>
              </w:rPr>
            </w:pPr>
          </w:p>
        </w:tc>
        <w:tc>
          <w:tcPr>
            <w:tcW w:w="945" w:type="pct"/>
            <w:tcBorders>
              <w:top w:val="single" w:color="auto" w:sz="4" w:space="0"/>
              <w:left w:val="single" w:color="auto" w:sz="4" w:space="0"/>
              <w:bottom w:val="single" w:color="auto" w:sz="4" w:space="0"/>
              <w:right w:val="single" w:color="auto" w:sz="4" w:space="0"/>
            </w:tcBorders>
            <w:vAlign w:val="center"/>
          </w:tcPr>
          <w:p w14:paraId="33B4BCC9">
            <w:pPr>
              <w:shd w:val="clear"/>
              <w:adjustRightInd w:val="0"/>
              <w:snapToGrid w:val="0"/>
              <w:spacing w:after="200" w:line="220" w:lineRule="atLeast"/>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5EC9A4D3">
            <w:pPr>
              <w:shd w:val="clear"/>
              <w:adjustRightInd w:val="0"/>
              <w:snapToGrid w:val="0"/>
              <w:spacing w:after="200" w:line="220" w:lineRule="atLeast"/>
              <w:rPr>
                <w:rFonts w:ascii="宋体" w:hAnsi="宋体" w:cs="宋体"/>
                <w:color w:val="auto"/>
                <w:highlight w:val="none"/>
              </w:rPr>
            </w:pPr>
          </w:p>
        </w:tc>
      </w:tr>
      <w:tr w14:paraId="465F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EDD8859">
            <w:pPr>
              <w:shd w:val="clear"/>
              <w:adjustRightInd w:val="0"/>
              <w:snapToGrid w:val="0"/>
              <w:spacing w:after="200" w:line="220" w:lineRule="atLeast"/>
              <w:jc w:val="center"/>
              <w:rPr>
                <w:rFonts w:ascii="宋体" w:hAnsi="宋体" w:cs="宋体"/>
                <w:bCs/>
                <w:i/>
                <w:color w:val="auto"/>
                <w:szCs w:val="21"/>
                <w:highlight w:val="none"/>
                <w:u w:val="single"/>
              </w:rPr>
            </w:pPr>
            <w:r>
              <w:rPr>
                <w:rFonts w:hint="eastAsia" w:cs="宋体"/>
                <w:bCs/>
                <w:i/>
                <w:color w:val="auto"/>
                <w:szCs w:val="21"/>
                <w:highlight w:val="none"/>
                <w:u w:val="single"/>
              </w:rPr>
              <w:t>7</w:t>
            </w:r>
          </w:p>
        </w:tc>
        <w:tc>
          <w:tcPr>
            <w:tcW w:w="2773" w:type="pct"/>
            <w:tcBorders>
              <w:top w:val="single" w:color="auto" w:sz="4" w:space="0"/>
              <w:left w:val="single" w:color="auto" w:sz="4" w:space="0"/>
              <w:bottom w:val="single" w:color="auto" w:sz="4" w:space="0"/>
              <w:right w:val="single" w:color="auto" w:sz="4" w:space="0"/>
            </w:tcBorders>
            <w:vAlign w:val="center"/>
          </w:tcPr>
          <w:p w14:paraId="41F7C6EA">
            <w:pPr>
              <w:shd w:val="clear"/>
              <w:adjustRightInd w:val="0"/>
              <w:snapToGrid w:val="0"/>
              <w:spacing w:after="200" w:line="590" w:lineRule="atLeast"/>
              <w:jc w:val="center"/>
              <w:rPr>
                <w:rFonts w:ascii="宋体" w:hAnsi="宋体" w:cs="宋体"/>
                <w:i/>
                <w:iCs/>
                <w:color w:val="auto"/>
                <w:szCs w:val="21"/>
                <w:highlight w:val="none"/>
                <w:u w:val="single"/>
              </w:rPr>
            </w:pPr>
            <w:r>
              <w:rPr>
                <w:rFonts w:hint="eastAsia" w:ascii="宋体" w:hAnsi="宋体" w:cs="宋体"/>
                <w:i/>
                <w:iCs/>
                <w:color w:val="auto"/>
                <w:szCs w:val="21"/>
                <w:highlight w:val="none"/>
                <w:u w:val="single"/>
              </w:rPr>
              <w:t>招标文件中的其他实质性要求</w:t>
            </w:r>
          </w:p>
        </w:tc>
        <w:tc>
          <w:tcPr>
            <w:tcW w:w="945" w:type="pct"/>
            <w:tcBorders>
              <w:top w:val="single" w:color="auto" w:sz="4" w:space="0"/>
              <w:left w:val="single" w:color="auto" w:sz="4" w:space="0"/>
              <w:bottom w:val="single" w:color="auto" w:sz="4" w:space="0"/>
              <w:right w:val="single" w:color="auto" w:sz="4" w:space="0"/>
            </w:tcBorders>
            <w:vAlign w:val="center"/>
          </w:tcPr>
          <w:p w14:paraId="72410670">
            <w:pPr>
              <w:shd w:val="clear"/>
              <w:adjustRightInd w:val="0"/>
              <w:snapToGrid w:val="0"/>
              <w:spacing w:after="200" w:line="220" w:lineRule="atLeast"/>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7756AE6A">
            <w:pPr>
              <w:shd w:val="clear"/>
              <w:adjustRightInd w:val="0"/>
              <w:snapToGrid w:val="0"/>
              <w:spacing w:after="200" w:line="220" w:lineRule="atLeast"/>
              <w:rPr>
                <w:rFonts w:ascii="宋体" w:hAnsi="宋体" w:cs="宋体"/>
                <w:color w:val="auto"/>
                <w:highlight w:val="none"/>
              </w:rPr>
            </w:pPr>
          </w:p>
        </w:tc>
      </w:tr>
    </w:tbl>
    <w:p w14:paraId="3D11A865">
      <w:pPr>
        <w:shd w:val="clear"/>
        <w:spacing w:before="50" w:after="50"/>
        <w:rPr>
          <w:rFonts w:ascii="宋体" w:hAnsi="宋体" w:cs="宋体"/>
          <w:color w:val="auto"/>
          <w:szCs w:val="21"/>
          <w:highlight w:val="none"/>
        </w:rPr>
      </w:pPr>
    </w:p>
    <w:p w14:paraId="15C9E453">
      <w:pPr>
        <w:shd w:val="clear"/>
        <w:spacing w:before="50" w:after="50"/>
        <w:rPr>
          <w:rFonts w:ascii="宋体" w:hAnsi="宋体" w:cs="宋体"/>
          <w:color w:val="auto"/>
          <w:kern w:val="0"/>
          <w:sz w:val="22"/>
          <w:szCs w:val="21"/>
          <w:highlight w:val="none"/>
        </w:rPr>
      </w:pPr>
    </w:p>
    <w:p w14:paraId="0A0D3D15">
      <w:pPr>
        <w:shd w:val="clear"/>
        <w:spacing w:before="50" w:after="50"/>
        <w:rPr>
          <w:rFonts w:ascii="宋体" w:hAnsi="宋体" w:cs="宋体"/>
          <w:color w:val="auto"/>
          <w:szCs w:val="21"/>
          <w:highlight w:val="none"/>
        </w:rPr>
      </w:pPr>
    </w:p>
    <w:p w14:paraId="0E26A0B3">
      <w:pPr>
        <w:shd w:val="clear"/>
        <w:spacing w:before="50" w:after="50"/>
        <w:rPr>
          <w:rFonts w:ascii="宋体" w:hAnsi="宋体" w:cs="宋体"/>
          <w:color w:val="auto"/>
          <w:szCs w:val="21"/>
          <w:highlight w:val="none"/>
        </w:rPr>
      </w:pPr>
    </w:p>
    <w:p w14:paraId="1D34E425">
      <w:pPr>
        <w:shd w:val="clear"/>
        <w:spacing w:before="50" w:after="50"/>
        <w:rPr>
          <w:rFonts w:ascii="宋体" w:hAnsi="宋体" w:cs="宋体"/>
          <w:color w:val="auto"/>
          <w:szCs w:val="21"/>
          <w:highlight w:val="none"/>
        </w:rPr>
      </w:pPr>
    </w:p>
    <w:p w14:paraId="658D4496">
      <w:pPr>
        <w:shd w:val="clear"/>
        <w:spacing w:before="50" w:after="50"/>
        <w:rPr>
          <w:rFonts w:ascii="宋体" w:hAnsi="宋体" w:cs="宋体"/>
          <w:color w:val="auto"/>
          <w:szCs w:val="21"/>
          <w:highlight w:val="none"/>
        </w:rPr>
      </w:pPr>
    </w:p>
    <w:p w14:paraId="27773F41">
      <w:pPr>
        <w:shd w:val="clear"/>
        <w:spacing w:before="50" w:after="50"/>
        <w:rPr>
          <w:rFonts w:ascii="宋体" w:hAnsi="宋体" w:cs="宋体"/>
          <w:color w:val="auto"/>
          <w:szCs w:val="21"/>
          <w:highlight w:val="none"/>
        </w:rPr>
      </w:pPr>
    </w:p>
    <w:p w14:paraId="26FC0A20">
      <w:pPr>
        <w:shd w:val="clear"/>
        <w:spacing w:before="50" w:after="50"/>
        <w:rPr>
          <w:rFonts w:ascii="宋体" w:hAnsi="宋体" w:cs="宋体"/>
          <w:color w:val="auto"/>
          <w:szCs w:val="21"/>
          <w:highlight w:val="none"/>
        </w:rPr>
      </w:pPr>
    </w:p>
    <w:p w14:paraId="31BEB317">
      <w:pPr>
        <w:shd w:val="clear"/>
        <w:spacing w:before="50" w:after="50"/>
        <w:rPr>
          <w:rFonts w:ascii="宋体" w:hAnsi="宋体" w:cs="宋体"/>
          <w:color w:val="auto"/>
          <w:szCs w:val="21"/>
          <w:highlight w:val="none"/>
        </w:rPr>
      </w:pPr>
    </w:p>
    <w:p w14:paraId="2D2EB5EF">
      <w:pPr>
        <w:shd w:val="clear"/>
        <w:spacing w:before="50" w:after="50"/>
        <w:rPr>
          <w:rFonts w:ascii="宋体" w:hAnsi="宋体" w:cs="宋体"/>
          <w:color w:val="auto"/>
          <w:szCs w:val="21"/>
          <w:highlight w:val="none"/>
        </w:rPr>
      </w:pPr>
    </w:p>
    <w:p w14:paraId="6B88772E">
      <w:pPr>
        <w:shd w:val="clear"/>
        <w:spacing w:afterLines="5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br w:type="page"/>
      </w:r>
      <w:r>
        <w:rPr>
          <w:rFonts w:hint="eastAsia" w:ascii="宋体" w:hAnsi="宋体" w:cs="宋体"/>
          <w:b/>
          <w:bCs/>
          <w:color w:val="auto"/>
          <w:szCs w:val="21"/>
          <w:highlight w:val="none"/>
        </w:rPr>
        <w:t>二、资格证明文件要求</w:t>
      </w:r>
    </w:p>
    <w:p w14:paraId="633E35E1">
      <w:pPr>
        <w:shd w:val="clear"/>
        <w:spacing w:line="400" w:lineRule="exact"/>
        <w:ind w:firstLine="420" w:firstLineChars="200"/>
        <w:rPr>
          <w:rFonts w:ascii="宋体" w:hAnsi="宋体" w:cs="宋体"/>
          <w:color w:val="auto"/>
          <w:highlight w:val="none"/>
        </w:rPr>
      </w:pPr>
      <w:r>
        <w:rPr>
          <w:rFonts w:hint="eastAsia" w:cs="宋体"/>
          <w:color w:val="auto"/>
          <w:szCs w:val="21"/>
          <w:highlight w:val="none"/>
        </w:rPr>
        <w:t>1</w:t>
      </w:r>
      <w:r>
        <w:rPr>
          <w:rFonts w:hint="eastAsia" w:ascii="宋体" w:hAnsi="宋体" w:cs="宋体"/>
          <w:color w:val="auto"/>
          <w:szCs w:val="21"/>
          <w:highlight w:val="none"/>
        </w:rPr>
        <w:t>.</w:t>
      </w:r>
      <w:r>
        <w:rPr>
          <w:rFonts w:hint="eastAsia" w:ascii="宋体" w:hAnsi="宋体" w:cs="宋体"/>
          <w:color w:val="auto"/>
          <w:kern w:val="0"/>
          <w:szCs w:val="21"/>
          <w:highlight w:val="none"/>
        </w:rPr>
        <w:t>满足以下规定，并提供下列材料：</w:t>
      </w:r>
    </w:p>
    <w:p w14:paraId="204ACC44">
      <w:pPr>
        <w:shd w:val="clear"/>
        <w:spacing w:line="360" w:lineRule="auto"/>
        <w:ind w:firstLine="420" w:firstLineChars="200"/>
        <w:rPr>
          <w:rFonts w:hint="eastAsia" w:ascii="宋体" w:hAnsi="宋体" w:eastAsia="宋体" w:cs="宋体"/>
          <w:i/>
          <w:iCs/>
          <w:color w:val="auto"/>
          <w:szCs w:val="21"/>
          <w:highlight w:val="none"/>
          <w:u w:val="single"/>
          <w:lang w:eastAsia="zh-CN"/>
        </w:rPr>
      </w:pPr>
      <w:r>
        <w:rPr>
          <w:rFonts w:hint="eastAsia" w:cs="宋体"/>
          <w:i/>
          <w:iCs/>
          <w:color w:val="auto"/>
          <w:szCs w:val="21"/>
          <w:highlight w:val="none"/>
          <w:u w:val="single"/>
        </w:rPr>
        <w:t>1</w:t>
      </w:r>
      <w:r>
        <w:rPr>
          <w:rFonts w:hint="eastAsia" w:ascii="宋体" w:hAnsi="宋体" w:cs="宋体"/>
          <w:i/>
          <w:iCs/>
          <w:color w:val="auto"/>
          <w:szCs w:val="21"/>
          <w:highlight w:val="none"/>
          <w:u w:val="single"/>
        </w:rPr>
        <w:t>.</w:t>
      </w:r>
      <w:r>
        <w:rPr>
          <w:rFonts w:hint="eastAsia" w:cs="宋体"/>
          <w:i/>
          <w:iCs/>
          <w:color w:val="auto"/>
          <w:szCs w:val="21"/>
          <w:highlight w:val="none"/>
          <w:u w:val="single"/>
        </w:rPr>
        <w:t>1</w:t>
      </w:r>
      <w:r>
        <w:rPr>
          <w:rFonts w:hint="eastAsia" w:ascii="宋体" w:hAnsi="宋体" w:cs="宋体"/>
          <w:i/>
          <w:iCs/>
          <w:color w:val="auto"/>
          <w:szCs w:val="21"/>
          <w:highlight w:val="none"/>
          <w:u w:val="single"/>
        </w:rPr>
        <w:t xml:space="preserve"> 投标函(原件)</w:t>
      </w:r>
      <w:r>
        <w:rPr>
          <w:rFonts w:hint="eastAsia" w:ascii="宋体" w:hAnsi="宋体" w:cs="宋体"/>
          <w:i/>
          <w:iCs/>
          <w:color w:val="auto"/>
          <w:szCs w:val="21"/>
          <w:highlight w:val="none"/>
          <w:u w:val="single"/>
          <w:lang w:eastAsia="zh-CN"/>
        </w:rPr>
        <w:t>；</w:t>
      </w:r>
    </w:p>
    <w:p w14:paraId="3444C94A">
      <w:pPr>
        <w:shd w:val="clear"/>
        <w:spacing w:line="360" w:lineRule="auto"/>
        <w:ind w:firstLine="420" w:firstLineChars="200"/>
        <w:rPr>
          <w:rFonts w:hint="eastAsia" w:ascii="宋体" w:hAnsi="宋体" w:eastAsia="宋体" w:cs="宋体"/>
          <w:i/>
          <w:iCs/>
          <w:color w:val="auto"/>
          <w:szCs w:val="21"/>
          <w:highlight w:val="none"/>
          <w:u w:val="single"/>
          <w:lang w:eastAsia="zh-CN"/>
        </w:rPr>
      </w:pPr>
      <w:r>
        <w:rPr>
          <w:rFonts w:hint="eastAsia" w:cs="宋体"/>
          <w:i/>
          <w:iCs/>
          <w:color w:val="auto"/>
          <w:szCs w:val="21"/>
          <w:highlight w:val="none"/>
          <w:u w:val="single"/>
        </w:rPr>
        <w:t>1</w:t>
      </w:r>
      <w:r>
        <w:rPr>
          <w:rFonts w:hint="eastAsia" w:ascii="宋体" w:hAnsi="宋体" w:cs="宋体"/>
          <w:i/>
          <w:iCs/>
          <w:color w:val="auto"/>
          <w:szCs w:val="21"/>
          <w:highlight w:val="none"/>
          <w:u w:val="single"/>
        </w:rPr>
        <w:t>.</w:t>
      </w:r>
      <w:r>
        <w:rPr>
          <w:rFonts w:hint="eastAsia" w:cs="宋体"/>
          <w:i/>
          <w:iCs/>
          <w:color w:val="auto"/>
          <w:szCs w:val="21"/>
          <w:highlight w:val="none"/>
          <w:u w:val="single"/>
        </w:rPr>
        <w:t>2</w:t>
      </w:r>
      <w:r>
        <w:rPr>
          <w:rFonts w:hint="eastAsia" w:ascii="宋体" w:hAnsi="宋体" w:cs="宋体"/>
          <w:i/>
          <w:iCs/>
          <w:color w:val="auto"/>
          <w:szCs w:val="21"/>
          <w:highlight w:val="none"/>
          <w:u w:val="single"/>
        </w:rPr>
        <w:t xml:space="preserve"> 资格声明(原件)</w:t>
      </w:r>
      <w:r>
        <w:rPr>
          <w:rFonts w:hint="eastAsia" w:ascii="宋体" w:hAnsi="宋体" w:cs="宋体"/>
          <w:i/>
          <w:iCs/>
          <w:color w:val="auto"/>
          <w:szCs w:val="21"/>
          <w:highlight w:val="none"/>
          <w:u w:val="single"/>
          <w:lang w:eastAsia="zh-CN"/>
        </w:rPr>
        <w:t>；</w:t>
      </w:r>
    </w:p>
    <w:p w14:paraId="6300D763">
      <w:pPr>
        <w:shd w:val="clear"/>
        <w:spacing w:line="360" w:lineRule="auto"/>
        <w:ind w:firstLine="420" w:firstLineChars="200"/>
        <w:rPr>
          <w:rFonts w:hint="eastAsia" w:ascii="宋体" w:hAnsi="宋体" w:eastAsia="宋体" w:cs="宋体"/>
          <w:i/>
          <w:iCs/>
          <w:color w:val="auto"/>
          <w:szCs w:val="21"/>
          <w:highlight w:val="none"/>
          <w:u w:val="single"/>
          <w:lang w:eastAsia="zh-CN"/>
        </w:rPr>
      </w:pPr>
      <w:r>
        <w:rPr>
          <w:rFonts w:hint="eastAsia" w:cs="宋体"/>
          <w:i/>
          <w:iCs/>
          <w:color w:val="auto"/>
          <w:szCs w:val="21"/>
          <w:highlight w:val="none"/>
          <w:u w:val="single"/>
        </w:rPr>
        <w:t>1</w:t>
      </w:r>
      <w:r>
        <w:rPr>
          <w:rFonts w:hint="eastAsia" w:ascii="宋体" w:hAnsi="宋体" w:cs="宋体"/>
          <w:i/>
          <w:iCs/>
          <w:color w:val="auto"/>
          <w:szCs w:val="21"/>
          <w:highlight w:val="none"/>
          <w:u w:val="single"/>
        </w:rPr>
        <w:t>.</w:t>
      </w:r>
      <w:r>
        <w:rPr>
          <w:rFonts w:hint="eastAsia" w:cs="宋体"/>
          <w:i/>
          <w:iCs/>
          <w:color w:val="auto"/>
          <w:szCs w:val="21"/>
          <w:highlight w:val="none"/>
          <w:u w:val="single"/>
        </w:rPr>
        <w:t>3</w:t>
      </w:r>
      <w:r>
        <w:rPr>
          <w:rFonts w:hint="eastAsia" w:ascii="宋体" w:hAnsi="宋体" w:eastAsia="宋体" w:cs="宋体"/>
          <w:i/>
          <w:iCs/>
          <w:color w:val="auto"/>
          <w:szCs w:val="21"/>
          <w:highlight w:val="none"/>
          <w:u w:val="single"/>
        </w:rPr>
        <w:t>若法定代表人参加投标的，须提供本人身份证复印件加盖供应商公章(原件备查)；若授权代表参加的，须提供《法人授权书》原件和授权代表身份证复印件加盖供应商公章（原件备查）</w:t>
      </w:r>
      <w:r>
        <w:rPr>
          <w:rFonts w:hint="eastAsia" w:ascii="宋体" w:hAnsi="宋体" w:eastAsia="宋体" w:cs="宋体"/>
          <w:i/>
          <w:iCs/>
          <w:color w:val="auto"/>
          <w:szCs w:val="21"/>
          <w:highlight w:val="none"/>
          <w:u w:val="single"/>
          <w:lang w:eastAsia="zh-CN"/>
        </w:rPr>
        <w:t>；</w:t>
      </w:r>
    </w:p>
    <w:p w14:paraId="22E35EC1">
      <w:pPr>
        <w:shd w:val="clear"/>
        <w:spacing w:line="360" w:lineRule="auto"/>
        <w:ind w:firstLine="420" w:firstLineChars="200"/>
        <w:rPr>
          <w:rFonts w:hint="eastAsia" w:ascii="宋体" w:hAnsi="宋体" w:eastAsia="宋体" w:cs="宋体"/>
          <w:i/>
          <w:iCs/>
          <w:color w:val="auto"/>
          <w:szCs w:val="21"/>
          <w:highlight w:val="none"/>
          <w:u w:val="single"/>
          <w:lang w:eastAsia="zh-CN"/>
        </w:rPr>
      </w:pPr>
      <w:r>
        <w:rPr>
          <w:rFonts w:hint="eastAsia" w:cs="宋体"/>
          <w:i/>
          <w:iCs/>
          <w:color w:val="auto"/>
          <w:szCs w:val="21"/>
          <w:highlight w:val="none"/>
          <w:u w:val="single"/>
        </w:rPr>
        <w:t>1</w:t>
      </w:r>
      <w:r>
        <w:rPr>
          <w:rFonts w:hint="eastAsia" w:ascii="宋体" w:hAnsi="宋体" w:cs="宋体"/>
          <w:i/>
          <w:iCs/>
          <w:color w:val="auto"/>
          <w:szCs w:val="21"/>
          <w:highlight w:val="none"/>
          <w:u w:val="single"/>
        </w:rPr>
        <w:t>.</w:t>
      </w:r>
      <w:r>
        <w:rPr>
          <w:rFonts w:hint="eastAsia" w:cs="宋体"/>
          <w:i/>
          <w:iCs/>
          <w:color w:val="auto"/>
          <w:szCs w:val="21"/>
          <w:highlight w:val="none"/>
          <w:u w:val="single"/>
        </w:rPr>
        <w:t>4</w:t>
      </w:r>
      <w:r>
        <w:rPr>
          <w:rFonts w:hint="eastAsia" w:ascii="宋体" w:hAnsi="宋体" w:cs="宋体"/>
          <w:i/>
          <w:iCs/>
          <w:color w:val="auto"/>
          <w:szCs w:val="21"/>
          <w:highlight w:val="none"/>
          <w:u w:val="single"/>
        </w:rPr>
        <w:t xml:space="preserve"> 营业执照副本(复印件加盖投标人公章)</w:t>
      </w:r>
      <w:r>
        <w:rPr>
          <w:rFonts w:hint="eastAsia" w:ascii="宋体" w:hAnsi="宋体" w:cs="宋体"/>
          <w:i/>
          <w:iCs/>
          <w:color w:val="auto"/>
          <w:szCs w:val="21"/>
          <w:highlight w:val="none"/>
          <w:u w:val="single"/>
          <w:lang w:eastAsia="zh-CN"/>
        </w:rPr>
        <w:t>；</w:t>
      </w:r>
    </w:p>
    <w:p w14:paraId="7D74A3B7">
      <w:pPr>
        <w:shd w:val="clear"/>
        <w:spacing w:line="360" w:lineRule="auto"/>
        <w:ind w:firstLine="420" w:firstLineChars="200"/>
        <w:rPr>
          <w:rFonts w:hint="eastAsia" w:ascii="宋体" w:hAnsi="宋体" w:eastAsia="宋体" w:cs="宋体"/>
          <w:i/>
          <w:iCs/>
          <w:color w:val="auto"/>
          <w:szCs w:val="21"/>
          <w:highlight w:val="none"/>
          <w:u w:val="single"/>
          <w:lang w:eastAsia="zh-CN"/>
        </w:rPr>
      </w:pPr>
      <w:r>
        <w:rPr>
          <w:rFonts w:hint="eastAsia" w:cs="宋体"/>
          <w:i/>
          <w:iCs/>
          <w:color w:val="auto"/>
          <w:szCs w:val="21"/>
          <w:highlight w:val="none"/>
          <w:u w:val="single"/>
        </w:rPr>
        <w:t>1</w:t>
      </w:r>
      <w:r>
        <w:rPr>
          <w:rFonts w:hint="eastAsia" w:ascii="宋体" w:hAnsi="宋体" w:cs="宋体"/>
          <w:i/>
          <w:iCs/>
          <w:color w:val="auto"/>
          <w:szCs w:val="21"/>
          <w:highlight w:val="none"/>
          <w:u w:val="single"/>
        </w:rPr>
        <w:t>.</w:t>
      </w:r>
      <w:r>
        <w:rPr>
          <w:rFonts w:hint="eastAsia" w:cs="宋体"/>
          <w:i/>
          <w:iCs/>
          <w:color w:val="auto"/>
          <w:szCs w:val="21"/>
          <w:highlight w:val="none"/>
          <w:u w:val="single"/>
        </w:rPr>
        <w:t>5</w:t>
      </w:r>
      <w:r>
        <w:rPr>
          <w:rFonts w:hint="eastAsia" w:ascii="宋体" w:hAnsi="宋体" w:cs="宋体"/>
          <w:i/>
          <w:iCs/>
          <w:color w:val="auto"/>
          <w:szCs w:val="21"/>
          <w:highlight w:val="none"/>
          <w:u w:val="single"/>
        </w:rPr>
        <w:t>依法缴纳职工社会保障资金的证明材料(复印件加盖投标人公章)(税务、银行或社会保险基金管理部门出具的近三个月内任意一月（2025年3月-2025年5月）缴纳职工社会保障资金的缴款凭证或缴款证明)</w:t>
      </w:r>
      <w:r>
        <w:rPr>
          <w:rFonts w:hint="eastAsia" w:ascii="宋体" w:hAnsi="宋体" w:cs="宋体"/>
          <w:i/>
          <w:iCs/>
          <w:color w:val="auto"/>
          <w:szCs w:val="21"/>
          <w:highlight w:val="none"/>
          <w:u w:val="single"/>
          <w:lang w:eastAsia="zh-CN"/>
        </w:rPr>
        <w:t>；</w:t>
      </w:r>
    </w:p>
    <w:p w14:paraId="2CC53395">
      <w:pPr>
        <w:shd w:val="clear"/>
        <w:spacing w:line="360" w:lineRule="auto"/>
        <w:ind w:firstLine="420" w:firstLineChars="200"/>
        <w:rPr>
          <w:rFonts w:hint="eastAsia" w:ascii="宋体" w:hAnsi="宋体" w:eastAsia="宋体" w:cs="宋体"/>
          <w:i/>
          <w:iCs/>
          <w:color w:val="auto"/>
          <w:szCs w:val="21"/>
          <w:highlight w:val="none"/>
          <w:u w:val="single"/>
          <w:lang w:eastAsia="zh-CN"/>
        </w:rPr>
      </w:pPr>
      <w:r>
        <w:rPr>
          <w:rFonts w:hint="eastAsia" w:cs="宋体"/>
          <w:i/>
          <w:iCs/>
          <w:color w:val="auto"/>
          <w:szCs w:val="21"/>
          <w:highlight w:val="none"/>
          <w:u w:val="single"/>
        </w:rPr>
        <w:t>1</w:t>
      </w:r>
      <w:r>
        <w:rPr>
          <w:rFonts w:hint="eastAsia" w:ascii="宋体" w:hAnsi="宋体" w:cs="宋体"/>
          <w:i/>
          <w:iCs/>
          <w:color w:val="auto"/>
          <w:szCs w:val="21"/>
          <w:highlight w:val="none"/>
          <w:u w:val="single"/>
        </w:rPr>
        <w:t>.</w:t>
      </w:r>
      <w:r>
        <w:rPr>
          <w:rFonts w:hint="eastAsia" w:cs="宋体"/>
          <w:i/>
          <w:iCs/>
          <w:color w:val="auto"/>
          <w:szCs w:val="21"/>
          <w:highlight w:val="none"/>
          <w:u w:val="single"/>
        </w:rPr>
        <w:t>6</w:t>
      </w:r>
      <w:r>
        <w:rPr>
          <w:rFonts w:hint="eastAsia" w:ascii="宋体" w:hAnsi="宋体" w:cs="宋体"/>
          <w:i/>
          <w:iCs/>
          <w:color w:val="auto"/>
          <w:szCs w:val="21"/>
          <w:highlight w:val="none"/>
          <w:u w:val="single"/>
        </w:rPr>
        <w:t>供应商近三个月内任意一个月（2025年3月-2025年5月）依法纳税的缴款凭证(复印件加盖投标人公章)</w:t>
      </w:r>
      <w:r>
        <w:rPr>
          <w:rFonts w:hint="eastAsia" w:ascii="宋体" w:hAnsi="宋体" w:cs="宋体"/>
          <w:i/>
          <w:iCs/>
          <w:color w:val="auto"/>
          <w:szCs w:val="21"/>
          <w:highlight w:val="none"/>
          <w:u w:val="single"/>
          <w:lang w:eastAsia="zh-CN"/>
        </w:rPr>
        <w:t>；</w:t>
      </w:r>
    </w:p>
    <w:p w14:paraId="15B3E472">
      <w:pPr>
        <w:shd w:val="clear"/>
        <w:spacing w:line="360" w:lineRule="auto"/>
        <w:ind w:firstLine="420" w:firstLineChars="200"/>
        <w:rPr>
          <w:rFonts w:hint="eastAsia" w:ascii="宋体" w:hAnsi="宋体" w:eastAsia="宋体" w:cs="宋体"/>
          <w:i/>
          <w:iCs/>
          <w:color w:val="auto"/>
          <w:szCs w:val="21"/>
          <w:highlight w:val="none"/>
          <w:u w:val="single"/>
          <w:lang w:eastAsia="zh-CN"/>
        </w:rPr>
      </w:pPr>
      <w:r>
        <w:rPr>
          <w:rFonts w:hint="eastAsia" w:cs="宋体"/>
          <w:i/>
          <w:iCs/>
          <w:color w:val="auto"/>
          <w:szCs w:val="21"/>
          <w:highlight w:val="none"/>
          <w:u w:val="single"/>
        </w:rPr>
        <w:t>1</w:t>
      </w:r>
      <w:r>
        <w:rPr>
          <w:rFonts w:hint="eastAsia" w:ascii="宋体" w:hAnsi="宋体" w:cs="宋体"/>
          <w:i/>
          <w:iCs/>
          <w:color w:val="auto"/>
          <w:szCs w:val="21"/>
          <w:highlight w:val="none"/>
          <w:u w:val="single"/>
        </w:rPr>
        <w:t>.</w:t>
      </w:r>
      <w:r>
        <w:rPr>
          <w:rFonts w:hint="eastAsia" w:cs="宋体"/>
          <w:i/>
          <w:iCs/>
          <w:color w:val="auto"/>
          <w:szCs w:val="21"/>
          <w:highlight w:val="none"/>
          <w:u w:val="single"/>
        </w:rPr>
        <w:t>7</w:t>
      </w:r>
      <w:r>
        <w:rPr>
          <w:rFonts w:hint="eastAsia" w:ascii="宋体" w:hAnsi="宋体" w:cs="宋体"/>
          <w:i/>
          <w:iCs/>
          <w:color w:val="auto"/>
          <w:szCs w:val="21"/>
          <w:highlight w:val="none"/>
          <w:u w:val="single"/>
          <w:lang w:eastAsia="zh-CN"/>
        </w:rPr>
        <w:t>上一年度(2023年或2024年)的财务状况报告(成立不满一年无需提供)(复印件加盖供应商公章)；</w:t>
      </w:r>
    </w:p>
    <w:p w14:paraId="5D5C8838">
      <w:pPr>
        <w:shd w:val="clear"/>
        <w:spacing w:line="360" w:lineRule="auto"/>
        <w:ind w:firstLine="420" w:firstLineChars="200"/>
        <w:rPr>
          <w:rFonts w:hint="eastAsia" w:ascii="宋体" w:hAnsi="宋体" w:eastAsia="宋体" w:cs="宋体"/>
          <w:i/>
          <w:iCs/>
          <w:color w:val="auto"/>
          <w:szCs w:val="21"/>
          <w:highlight w:val="none"/>
          <w:u w:val="single"/>
          <w:lang w:eastAsia="zh-CN"/>
        </w:rPr>
      </w:pPr>
      <w:r>
        <w:rPr>
          <w:rFonts w:hint="eastAsia" w:cs="宋体"/>
          <w:i/>
          <w:iCs/>
          <w:color w:val="auto"/>
          <w:szCs w:val="21"/>
          <w:highlight w:val="none"/>
          <w:u w:val="single"/>
        </w:rPr>
        <w:t>1</w:t>
      </w:r>
      <w:r>
        <w:rPr>
          <w:rFonts w:hint="eastAsia" w:ascii="宋体" w:hAnsi="宋体" w:cs="宋体"/>
          <w:i/>
          <w:iCs/>
          <w:color w:val="auto"/>
          <w:szCs w:val="21"/>
          <w:highlight w:val="none"/>
          <w:u w:val="single"/>
        </w:rPr>
        <w:t>.</w:t>
      </w:r>
      <w:r>
        <w:rPr>
          <w:rFonts w:hint="eastAsia" w:cs="宋体"/>
          <w:i/>
          <w:iCs/>
          <w:color w:val="auto"/>
          <w:szCs w:val="21"/>
          <w:highlight w:val="none"/>
          <w:u w:val="single"/>
        </w:rPr>
        <w:t>8</w:t>
      </w:r>
      <w:r>
        <w:rPr>
          <w:rFonts w:hint="eastAsia" w:ascii="宋体" w:hAnsi="宋体" w:cs="宋体"/>
          <w:i/>
          <w:iCs/>
          <w:color w:val="auto"/>
          <w:szCs w:val="21"/>
          <w:highlight w:val="none"/>
          <w:u w:val="single"/>
        </w:rPr>
        <w:t xml:space="preserve"> 供应商参加本次政府采购活动前</w:t>
      </w:r>
      <w:r>
        <w:rPr>
          <w:rFonts w:hint="eastAsia" w:cs="宋体"/>
          <w:i/>
          <w:iCs/>
          <w:color w:val="auto"/>
          <w:szCs w:val="21"/>
          <w:highlight w:val="none"/>
          <w:u w:val="single"/>
        </w:rPr>
        <w:t>3</w:t>
      </w:r>
      <w:r>
        <w:rPr>
          <w:rFonts w:hint="eastAsia" w:ascii="宋体" w:hAnsi="宋体" w:cs="宋体"/>
          <w:i/>
          <w:iCs/>
          <w:color w:val="auto"/>
          <w:szCs w:val="21"/>
          <w:highlight w:val="none"/>
          <w:u w:val="single"/>
        </w:rPr>
        <w:t>年内在经营活动中没有重大违法记录的书面声明（原件）</w:t>
      </w:r>
      <w:r>
        <w:rPr>
          <w:rFonts w:hint="eastAsia" w:ascii="宋体" w:hAnsi="宋体" w:cs="宋体"/>
          <w:i/>
          <w:iCs/>
          <w:color w:val="auto"/>
          <w:szCs w:val="21"/>
          <w:highlight w:val="none"/>
          <w:u w:val="single"/>
          <w:lang w:eastAsia="zh-CN"/>
        </w:rPr>
        <w:t>；</w:t>
      </w:r>
    </w:p>
    <w:p w14:paraId="7B2AE5B0">
      <w:pPr>
        <w:shd w:val="clear"/>
        <w:spacing w:line="360" w:lineRule="auto"/>
        <w:ind w:firstLine="420" w:firstLineChars="200"/>
        <w:rPr>
          <w:rFonts w:hint="eastAsia" w:ascii="宋体" w:hAnsi="宋体" w:eastAsia="宋体" w:cs="宋体"/>
          <w:i/>
          <w:iCs/>
          <w:color w:val="auto"/>
          <w:szCs w:val="21"/>
          <w:highlight w:val="none"/>
          <w:u w:val="single"/>
          <w:lang w:eastAsia="zh-CN"/>
        </w:rPr>
      </w:pPr>
      <w:r>
        <w:rPr>
          <w:rFonts w:hint="eastAsia" w:cs="宋体"/>
          <w:i/>
          <w:iCs/>
          <w:color w:val="auto"/>
          <w:szCs w:val="21"/>
          <w:highlight w:val="none"/>
          <w:u w:val="single"/>
        </w:rPr>
        <w:t>1</w:t>
      </w:r>
      <w:r>
        <w:rPr>
          <w:rFonts w:hint="eastAsia" w:ascii="宋体" w:hAnsi="宋体" w:cs="宋体"/>
          <w:i/>
          <w:iCs/>
          <w:color w:val="auto"/>
          <w:szCs w:val="21"/>
          <w:highlight w:val="none"/>
          <w:u w:val="single"/>
        </w:rPr>
        <w:t>.</w:t>
      </w:r>
      <w:r>
        <w:rPr>
          <w:rFonts w:hint="eastAsia" w:cs="宋体"/>
          <w:i/>
          <w:iCs/>
          <w:color w:val="auto"/>
          <w:szCs w:val="21"/>
          <w:highlight w:val="none"/>
          <w:u w:val="single"/>
        </w:rPr>
        <w:t>9</w:t>
      </w:r>
      <w:r>
        <w:rPr>
          <w:rFonts w:hint="eastAsia" w:ascii="宋体" w:hAnsi="宋体" w:cs="宋体"/>
          <w:i/>
          <w:iCs/>
          <w:color w:val="auto"/>
          <w:szCs w:val="21"/>
          <w:highlight w:val="none"/>
          <w:u w:val="single"/>
        </w:rPr>
        <w:t>供应商信用承诺书（原件）</w:t>
      </w:r>
      <w:r>
        <w:rPr>
          <w:rFonts w:hint="eastAsia" w:ascii="宋体" w:hAnsi="宋体" w:cs="宋体"/>
          <w:i/>
          <w:iCs/>
          <w:color w:val="auto"/>
          <w:szCs w:val="21"/>
          <w:highlight w:val="none"/>
          <w:u w:val="single"/>
          <w:lang w:eastAsia="zh-CN"/>
        </w:rPr>
        <w:t>；</w:t>
      </w:r>
    </w:p>
    <w:p w14:paraId="2D104D33">
      <w:pPr>
        <w:shd w:val="clear"/>
        <w:spacing w:line="360" w:lineRule="auto"/>
        <w:ind w:firstLine="420" w:firstLineChars="200"/>
        <w:rPr>
          <w:rFonts w:hint="eastAsia" w:ascii="宋体" w:hAnsi="宋体" w:eastAsia="宋体" w:cs="宋体"/>
          <w:i/>
          <w:iCs/>
          <w:color w:val="auto"/>
          <w:szCs w:val="21"/>
          <w:highlight w:val="none"/>
          <w:u w:val="single"/>
          <w:lang w:eastAsia="zh-CN"/>
        </w:rPr>
      </w:pPr>
      <w:r>
        <w:rPr>
          <w:rFonts w:hint="eastAsia" w:cs="宋体"/>
          <w:i/>
          <w:iCs/>
          <w:color w:val="auto"/>
          <w:szCs w:val="21"/>
          <w:highlight w:val="none"/>
          <w:u w:val="single"/>
        </w:rPr>
        <w:t>1</w:t>
      </w:r>
      <w:r>
        <w:rPr>
          <w:rFonts w:hint="eastAsia" w:ascii="宋体" w:hAnsi="宋体" w:cs="宋体"/>
          <w:i/>
          <w:iCs/>
          <w:color w:val="auto"/>
          <w:szCs w:val="21"/>
          <w:highlight w:val="none"/>
          <w:u w:val="single"/>
        </w:rPr>
        <w:t>.</w:t>
      </w:r>
      <w:r>
        <w:rPr>
          <w:rFonts w:hint="eastAsia" w:cs="宋体"/>
          <w:i/>
          <w:iCs/>
          <w:color w:val="auto"/>
          <w:szCs w:val="21"/>
          <w:highlight w:val="none"/>
          <w:u w:val="single"/>
        </w:rPr>
        <w:t>10</w:t>
      </w:r>
      <w:r>
        <w:rPr>
          <w:rFonts w:hint="eastAsia" w:ascii="宋体" w:hAnsi="宋体" w:cs="宋体"/>
          <w:i/>
          <w:iCs/>
          <w:color w:val="auto"/>
          <w:szCs w:val="21"/>
          <w:highlight w:val="none"/>
          <w:u w:val="single"/>
        </w:rPr>
        <w:t>供应商未被“信用中国”网站（</w:t>
      </w:r>
      <w:r>
        <w:rPr>
          <w:rFonts w:hint="eastAsia" w:cs="宋体"/>
          <w:i/>
          <w:iCs/>
          <w:color w:val="auto"/>
          <w:szCs w:val="21"/>
          <w:highlight w:val="none"/>
          <w:u w:val="single"/>
        </w:rPr>
        <w:t>www</w:t>
      </w:r>
      <w:r>
        <w:rPr>
          <w:rFonts w:hint="eastAsia" w:ascii="宋体" w:hAnsi="宋体" w:cs="宋体"/>
          <w:i/>
          <w:iCs/>
          <w:color w:val="auto"/>
          <w:szCs w:val="21"/>
          <w:highlight w:val="none"/>
          <w:u w:val="single"/>
        </w:rPr>
        <w:t>.</w:t>
      </w:r>
      <w:r>
        <w:rPr>
          <w:rFonts w:hint="eastAsia" w:cs="宋体"/>
          <w:i/>
          <w:iCs/>
          <w:color w:val="auto"/>
          <w:szCs w:val="21"/>
          <w:highlight w:val="none"/>
          <w:u w:val="single"/>
        </w:rPr>
        <w:t>creditchina</w:t>
      </w:r>
      <w:r>
        <w:rPr>
          <w:rFonts w:hint="eastAsia" w:ascii="宋体" w:hAnsi="宋体" w:cs="宋体"/>
          <w:i/>
          <w:iCs/>
          <w:color w:val="auto"/>
          <w:szCs w:val="21"/>
          <w:highlight w:val="none"/>
          <w:u w:val="single"/>
        </w:rPr>
        <w:t>.</w:t>
      </w:r>
      <w:r>
        <w:rPr>
          <w:rFonts w:hint="eastAsia" w:cs="宋体"/>
          <w:i/>
          <w:iCs/>
          <w:color w:val="auto"/>
          <w:szCs w:val="21"/>
          <w:highlight w:val="none"/>
          <w:u w:val="single"/>
        </w:rPr>
        <w:t>gov</w:t>
      </w:r>
      <w:r>
        <w:rPr>
          <w:rFonts w:hint="eastAsia" w:ascii="宋体" w:hAnsi="宋体" w:cs="宋体"/>
          <w:i/>
          <w:iCs/>
          <w:color w:val="auto"/>
          <w:szCs w:val="21"/>
          <w:highlight w:val="none"/>
          <w:u w:val="single"/>
        </w:rPr>
        <w:t>.</w:t>
      </w:r>
      <w:r>
        <w:rPr>
          <w:rFonts w:hint="eastAsia" w:cs="宋体"/>
          <w:i/>
          <w:iCs/>
          <w:color w:val="auto"/>
          <w:szCs w:val="21"/>
          <w:highlight w:val="none"/>
          <w:u w:val="single"/>
        </w:rPr>
        <w:t>cn</w:t>
      </w:r>
      <w:r>
        <w:rPr>
          <w:rFonts w:hint="eastAsia" w:ascii="宋体" w:hAnsi="宋体" w:cs="宋体"/>
          <w:i/>
          <w:iCs/>
          <w:color w:val="auto"/>
          <w:szCs w:val="21"/>
          <w:highlight w:val="none"/>
          <w:u w:val="single"/>
        </w:rPr>
        <w:t>）、“中国政府采购网” (</w:t>
      </w:r>
      <w:r>
        <w:rPr>
          <w:rFonts w:hint="eastAsia" w:cs="宋体"/>
          <w:i/>
          <w:iCs/>
          <w:color w:val="auto"/>
          <w:szCs w:val="21"/>
          <w:highlight w:val="none"/>
          <w:u w:val="single"/>
        </w:rPr>
        <w:t>www</w:t>
      </w:r>
      <w:r>
        <w:rPr>
          <w:rFonts w:hint="eastAsia" w:ascii="宋体" w:hAnsi="宋体" w:cs="宋体"/>
          <w:i/>
          <w:iCs/>
          <w:color w:val="auto"/>
          <w:szCs w:val="21"/>
          <w:highlight w:val="none"/>
          <w:u w:val="single"/>
        </w:rPr>
        <w:t>.</w:t>
      </w:r>
      <w:r>
        <w:rPr>
          <w:rFonts w:hint="eastAsia" w:cs="宋体"/>
          <w:i/>
          <w:iCs/>
          <w:color w:val="auto"/>
          <w:szCs w:val="21"/>
          <w:highlight w:val="none"/>
          <w:u w:val="single"/>
        </w:rPr>
        <w:t>ccgp</w:t>
      </w:r>
      <w:r>
        <w:rPr>
          <w:rFonts w:hint="eastAsia" w:ascii="宋体" w:hAnsi="宋体" w:cs="宋体"/>
          <w:i/>
          <w:iCs/>
          <w:color w:val="auto"/>
          <w:szCs w:val="21"/>
          <w:highlight w:val="none"/>
          <w:u w:val="single"/>
        </w:rPr>
        <w:t>.</w:t>
      </w:r>
      <w:r>
        <w:rPr>
          <w:rFonts w:hint="eastAsia" w:cs="宋体"/>
          <w:i/>
          <w:iCs/>
          <w:color w:val="auto"/>
          <w:szCs w:val="21"/>
          <w:highlight w:val="none"/>
          <w:u w:val="single"/>
        </w:rPr>
        <w:t>gov</w:t>
      </w:r>
      <w:r>
        <w:rPr>
          <w:rFonts w:hint="eastAsia" w:ascii="宋体" w:hAnsi="宋体" w:cs="宋体"/>
          <w:i/>
          <w:iCs/>
          <w:color w:val="auto"/>
          <w:szCs w:val="21"/>
          <w:highlight w:val="none"/>
          <w:u w:val="single"/>
        </w:rPr>
        <w:t>.</w:t>
      </w:r>
      <w:r>
        <w:rPr>
          <w:rFonts w:hint="eastAsia" w:cs="宋体"/>
          <w:i/>
          <w:iCs/>
          <w:color w:val="auto"/>
          <w:szCs w:val="21"/>
          <w:highlight w:val="none"/>
          <w:u w:val="single"/>
        </w:rPr>
        <w:t>cn</w:t>
      </w:r>
      <w:r>
        <w:rPr>
          <w:rFonts w:hint="eastAsia" w:ascii="宋体" w:hAnsi="宋体" w:cs="宋体"/>
          <w:i/>
          <w:iCs/>
          <w:color w:val="auto"/>
          <w:szCs w:val="21"/>
          <w:highlight w:val="none"/>
          <w:u w:val="single"/>
        </w:rPr>
        <w:t>)列入失信被执行人、重大税收违法案件当事人名单、</w:t>
      </w:r>
      <w:r>
        <w:rPr>
          <w:rFonts w:hint="eastAsia" w:ascii="宋体" w:hAnsi="宋体" w:cs="宋体"/>
          <w:i/>
          <w:iCs/>
          <w:color w:val="auto"/>
          <w:szCs w:val="21"/>
          <w:highlight w:val="none"/>
          <w:u w:val="single"/>
          <w:lang w:eastAsia="zh-CN"/>
        </w:rPr>
        <w:t>政府采购严重违法失信行为。（提供网页查询截图并加盖供应商公章，查询时间为自公告发布至开标截止时间前任意时间）</w:t>
      </w:r>
    </w:p>
    <w:p w14:paraId="6D1F527D">
      <w:pPr>
        <w:pStyle w:val="47"/>
        <w:shd w:val="clear"/>
        <w:ind w:firstLine="420"/>
        <w:rPr>
          <w:color w:val="auto"/>
          <w:highlight w:val="none"/>
        </w:rPr>
      </w:pPr>
      <w:r>
        <w:rPr>
          <w:rFonts w:hint="eastAsia"/>
          <w:color w:val="auto"/>
          <w:highlight w:val="none"/>
        </w:rPr>
        <w:t>注一：如参加本项目的供应商为新成立公司（成立时间距开标时间不到1年）、个体工商户、自然人或事业单位等非企业法人，请提供相应情况说明，本文件中所需法定代表人相关材料、盖章及签字等可用供应商相关负责人的相应材料代替。</w:t>
      </w:r>
    </w:p>
    <w:p w14:paraId="016BD810">
      <w:pPr>
        <w:pStyle w:val="47"/>
        <w:shd w:val="clear"/>
        <w:ind w:firstLine="420"/>
        <w:rPr>
          <w:color w:val="auto"/>
          <w:highlight w:val="none"/>
        </w:rPr>
      </w:pPr>
      <w:r>
        <w:rPr>
          <w:rFonts w:hint="eastAsia"/>
          <w:color w:val="auto"/>
          <w:highlight w:val="none"/>
        </w:rPr>
        <w:t>注二：供应商如有相关政策支持，延期缴纳或暂不缴纳职工社会保障资金、税收的，须提供相关证明材料。</w:t>
      </w:r>
    </w:p>
    <w:p w14:paraId="3598E048">
      <w:pPr>
        <w:shd w:val="clear"/>
        <w:spacing w:line="360" w:lineRule="auto"/>
        <w:ind w:firstLine="420" w:firstLineChars="200"/>
        <w:rPr>
          <w:rFonts w:hint="eastAsia" w:ascii="宋体" w:hAnsi="宋体" w:eastAsia="宋体" w:cs="宋体"/>
          <w:i/>
          <w:iCs/>
          <w:color w:val="auto"/>
          <w:szCs w:val="21"/>
          <w:highlight w:val="none"/>
          <w:u w:val="single"/>
          <w:lang w:eastAsia="zh-CN"/>
        </w:rPr>
      </w:pPr>
      <w:r>
        <w:rPr>
          <w:rFonts w:hint="eastAsia" w:cs="宋体"/>
          <w:color w:val="auto"/>
          <w:szCs w:val="21"/>
          <w:highlight w:val="none"/>
        </w:rPr>
        <w:t>2</w:t>
      </w:r>
      <w:r>
        <w:rPr>
          <w:rFonts w:hint="eastAsia" w:ascii="宋体" w:hAnsi="宋体" w:cs="宋体"/>
          <w:color w:val="auto"/>
          <w:szCs w:val="21"/>
          <w:highlight w:val="none"/>
        </w:rPr>
        <w:t>.落实政府采购政策需满足的资格要求：/</w:t>
      </w:r>
      <w:r>
        <w:rPr>
          <w:rFonts w:hint="eastAsia" w:ascii="宋体" w:hAnsi="宋体" w:cs="宋体"/>
          <w:color w:val="auto"/>
          <w:szCs w:val="21"/>
          <w:highlight w:val="none"/>
          <w:lang w:eastAsia="zh-CN"/>
        </w:rPr>
        <w:t>。</w:t>
      </w:r>
    </w:p>
    <w:p w14:paraId="1F05247A">
      <w:pPr>
        <w:shd w:val="clear"/>
        <w:spacing w:line="360" w:lineRule="auto"/>
        <w:ind w:firstLine="420" w:firstLineChars="200"/>
        <w:rPr>
          <w:rFonts w:hint="eastAsia" w:eastAsia="宋体"/>
          <w:color w:val="auto"/>
          <w:highlight w:val="none"/>
          <w:lang w:val="en-US" w:eastAsia="zh-CN"/>
        </w:rPr>
      </w:pPr>
      <w:r>
        <w:rPr>
          <w:rFonts w:hint="eastAsia" w:cs="宋体"/>
          <w:color w:val="auto"/>
          <w:szCs w:val="21"/>
          <w:highlight w:val="none"/>
        </w:rPr>
        <w:t>3</w:t>
      </w:r>
      <w:r>
        <w:rPr>
          <w:rFonts w:hint="eastAsia" w:ascii="宋体" w:hAnsi="宋体" w:cs="宋体"/>
          <w:color w:val="auto"/>
          <w:szCs w:val="21"/>
          <w:highlight w:val="none"/>
        </w:rPr>
        <w:t>.</w:t>
      </w:r>
      <w:r>
        <w:rPr>
          <w:rFonts w:hint="eastAsia" w:ascii="宋体" w:hAnsi="宋体" w:cs="宋体"/>
          <w:color w:val="auto"/>
          <w:szCs w:val="21"/>
          <w:highlight w:val="none"/>
          <w:lang w:eastAsia="zh-CN"/>
        </w:rPr>
        <w:t>本项目的特定资格要求：</w:t>
      </w:r>
      <w:r>
        <w:rPr>
          <w:rFonts w:hint="eastAsia" w:ascii="宋体" w:hAnsi="宋体" w:cs="宋体"/>
          <w:i/>
          <w:iCs/>
          <w:color w:val="auto"/>
          <w:szCs w:val="21"/>
          <w:highlight w:val="none"/>
          <w:u w:val="single"/>
          <w:lang w:eastAsia="zh-CN"/>
        </w:rPr>
        <w:t xml:space="preserve">供应商为授权委托人缴纳的2025年3月-2025年5月任意一个月的社保证明(复印件加盖投标人公章) </w:t>
      </w:r>
    </w:p>
    <w:p w14:paraId="31EC512E">
      <w:pPr>
        <w:shd w:val="clear"/>
        <w:spacing w:line="360" w:lineRule="auto"/>
        <w:ind w:right="312" w:firstLine="420" w:firstLineChars="200"/>
        <w:rPr>
          <w:rFonts w:ascii="宋体" w:hAnsi="宋体" w:cs="宋体"/>
          <w:color w:val="auto"/>
          <w:szCs w:val="21"/>
          <w:highlight w:val="none"/>
        </w:rPr>
      </w:pPr>
      <w:r>
        <w:rPr>
          <w:rFonts w:hint="eastAsia" w:ascii="宋体" w:hAnsi="宋体" w:cs="宋体"/>
          <w:color w:val="auto"/>
          <w:szCs w:val="21"/>
          <w:highlight w:val="none"/>
        </w:rPr>
        <w:t>备注：投标文件的正本和副本中均须提供上述资信证明文件。资信证明文件须清晰可辨，若有缺失或不清晰，将导致投标被拒绝且不允许在开标后补正。</w:t>
      </w:r>
    </w:p>
    <w:p w14:paraId="307E1509">
      <w:pPr>
        <w:shd w:val="clear"/>
        <w:jc w:val="center"/>
        <w:rPr>
          <w:rFonts w:ascii="宋体" w:hAnsi="宋体" w:cs="宋体"/>
          <w:b/>
          <w:bCs/>
          <w:color w:val="auto"/>
          <w:szCs w:val="21"/>
          <w:highlight w:val="none"/>
        </w:rPr>
      </w:pPr>
      <w:r>
        <w:rPr>
          <w:rFonts w:hint="eastAsia" w:ascii="宋体" w:hAnsi="宋体" w:cs="宋体"/>
          <w:b/>
          <w:bCs/>
          <w:color w:val="auto"/>
          <w:szCs w:val="21"/>
          <w:highlight w:val="none"/>
        </w:rPr>
        <w:br w:type="page"/>
      </w:r>
      <w:r>
        <w:rPr>
          <w:rFonts w:hint="eastAsia" w:ascii="宋体" w:hAnsi="宋体" w:cs="宋体"/>
          <w:b/>
          <w:bCs/>
          <w:color w:val="auto"/>
          <w:szCs w:val="21"/>
          <w:highlight w:val="none"/>
        </w:rPr>
        <w:t>投标函格式</w:t>
      </w:r>
    </w:p>
    <w:p w14:paraId="0F60259C">
      <w:pPr>
        <w:pStyle w:val="169"/>
        <w:shd w:val="clear"/>
        <w:spacing w:before="0" w:after="0"/>
        <w:ind w:firstLine="0"/>
        <w:rPr>
          <w:rFonts w:ascii="宋体" w:hAnsi="宋体" w:cs="宋体"/>
          <w:color w:val="auto"/>
          <w:kern w:val="2"/>
          <w:sz w:val="21"/>
          <w:szCs w:val="21"/>
          <w:highlight w:val="none"/>
        </w:rPr>
      </w:pPr>
      <w:r>
        <w:rPr>
          <w:rFonts w:hint="eastAsia" w:ascii="宋体" w:hAnsi="宋体" w:cs="宋体"/>
          <w:color w:val="auto"/>
          <w:kern w:val="2"/>
          <w:sz w:val="21"/>
          <w:szCs w:val="21"/>
          <w:highlight w:val="none"/>
        </w:rPr>
        <w:t>致：江苏时代投资咨询有限公司</w:t>
      </w:r>
    </w:p>
    <w:p w14:paraId="67AE65E9">
      <w:pPr>
        <w:pStyle w:val="169"/>
        <w:shd w:val="clear"/>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根据贵方的</w:t>
      </w:r>
      <w:r>
        <w:rPr>
          <w:rFonts w:hint="eastAsia" w:ascii="宋体" w:hAnsi="宋体" w:cs="宋体"/>
          <w:color w:val="auto"/>
          <w:kern w:val="2"/>
          <w:sz w:val="21"/>
          <w:szCs w:val="21"/>
          <w:highlight w:val="none"/>
          <w:lang w:eastAsia="zh-CN"/>
        </w:rPr>
        <w:t>JSSDZX-2025124号</w:t>
      </w:r>
      <w:r>
        <w:rPr>
          <w:rFonts w:hint="eastAsia" w:ascii="宋体" w:hAnsi="宋体" w:cs="宋体"/>
          <w:color w:val="auto"/>
          <w:kern w:val="2"/>
          <w:sz w:val="21"/>
          <w:szCs w:val="21"/>
          <w:highlight w:val="none"/>
        </w:rPr>
        <w:t xml:space="preserve"> 招标文件，正式授权下述签字___________(姓名)代表我方______________（投标人的名称），全权处理本次项目投标的有关事宜。</w:t>
      </w:r>
    </w:p>
    <w:p w14:paraId="4AD28993">
      <w:pPr>
        <w:pStyle w:val="169"/>
        <w:shd w:val="clear"/>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据此函，__________签字人兹宣布同意如下：</w:t>
      </w:r>
    </w:p>
    <w:p w14:paraId="36366729">
      <w:pPr>
        <w:pStyle w:val="169"/>
        <w:shd w:val="clear"/>
        <w:spacing w:before="0" w:after="0"/>
        <w:ind w:firstLine="420" w:firstLineChars="200"/>
        <w:rPr>
          <w:rFonts w:ascii="宋体" w:hAnsi="宋体" w:cs="宋体"/>
          <w:color w:val="auto"/>
          <w:kern w:val="2"/>
          <w:sz w:val="21"/>
          <w:szCs w:val="21"/>
          <w:highlight w:val="none"/>
        </w:rPr>
      </w:pPr>
      <w:r>
        <w:rPr>
          <w:rFonts w:hint="eastAsia" w:ascii="Times New Roman" w:hAnsi="Times New Roman" w:cs="宋体"/>
          <w:color w:val="auto"/>
          <w:kern w:val="2"/>
          <w:sz w:val="21"/>
          <w:szCs w:val="21"/>
          <w:highlight w:val="none"/>
        </w:rPr>
        <w:t>1</w:t>
      </w:r>
      <w:r>
        <w:rPr>
          <w:rFonts w:hint="eastAsia" w:ascii="宋体" w:hAnsi="宋体" w:cs="宋体"/>
          <w:color w:val="auto"/>
          <w:kern w:val="2"/>
          <w:sz w:val="21"/>
          <w:szCs w:val="21"/>
          <w:highlight w:val="none"/>
        </w:rPr>
        <w:t>.按招标文件规定的各项要求，向买方提供所需货物与服务。</w:t>
      </w:r>
    </w:p>
    <w:p w14:paraId="46AA7C03">
      <w:pPr>
        <w:pStyle w:val="169"/>
        <w:shd w:val="clear"/>
        <w:spacing w:before="0" w:after="0"/>
        <w:ind w:firstLine="420" w:firstLineChars="200"/>
        <w:rPr>
          <w:rFonts w:ascii="宋体" w:hAnsi="宋体" w:cs="宋体"/>
          <w:color w:val="auto"/>
          <w:kern w:val="2"/>
          <w:sz w:val="21"/>
          <w:szCs w:val="21"/>
          <w:highlight w:val="none"/>
        </w:rPr>
      </w:pPr>
      <w:r>
        <w:rPr>
          <w:rFonts w:hint="eastAsia" w:ascii="Times New Roman" w:hAnsi="Times New Roman" w:cs="宋体"/>
          <w:color w:val="auto"/>
          <w:kern w:val="2"/>
          <w:sz w:val="21"/>
          <w:szCs w:val="21"/>
          <w:highlight w:val="none"/>
        </w:rPr>
        <w:t>2</w:t>
      </w:r>
      <w:r>
        <w:rPr>
          <w:rFonts w:hint="eastAsia" w:ascii="宋体" w:hAnsi="宋体" w:cs="宋体"/>
          <w:color w:val="auto"/>
          <w:kern w:val="2"/>
          <w:sz w:val="21"/>
          <w:szCs w:val="21"/>
          <w:highlight w:val="none"/>
        </w:rPr>
        <w:t>.我们完全理解贵方不一定将合同授予最低报价的投标人。</w:t>
      </w:r>
    </w:p>
    <w:p w14:paraId="2EECA241">
      <w:pPr>
        <w:pStyle w:val="169"/>
        <w:shd w:val="clear"/>
        <w:spacing w:before="0" w:after="0"/>
        <w:ind w:firstLine="420" w:firstLineChars="200"/>
        <w:rPr>
          <w:rFonts w:ascii="宋体" w:hAnsi="宋体" w:cs="宋体"/>
          <w:color w:val="auto"/>
          <w:kern w:val="2"/>
          <w:sz w:val="21"/>
          <w:szCs w:val="21"/>
          <w:highlight w:val="none"/>
        </w:rPr>
      </w:pPr>
      <w:r>
        <w:rPr>
          <w:rFonts w:hint="eastAsia" w:ascii="Times New Roman" w:hAnsi="Times New Roman" w:cs="宋体"/>
          <w:color w:val="auto"/>
          <w:kern w:val="2"/>
          <w:sz w:val="21"/>
          <w:szCs w:val="21"/>
          <w:highlight w:val="none"/>
        </w:rPr>
        <w:t>3</w:t>
      </w:r>
      <w:r>
        <w:rPr>
          <w:rFonts w:hint="eastAsia" w:ascii="宋体" w:hAnsi="宋体" w:cs="宋体"/>
          <w:color w:val="auto"/>
          <w:kern w:val="2"/>
          <w:sz w:val="21"/>
          <w:szCs w:val="21"/>
          <w:highlight w:val="none"/>
        </w:rPr>
        <w:t>.我们已详细审核全部招标文件及其有效补充文件，我们知道必须放弃提出含糊不清或误解问题的权利。</w:t>
      </w:r>
    </w:p>
    <w:p w14:paraId="24DB231F">
      <w:pPr>
        <w:pStyle w:val="169"/>
        <w:shd w:val="clear"/>
        <w:spacing w:before="0" w:after="0"/>
        <w:ind w:firstLine="420" w:firstLineChars="200"/>
        <w:rPr>
          <w:rFonts w:ascii="宋体" w:hAnsi="宋体" w:cs="宋体"/>
          <w:color w:val="auto"/>
          <w:kern w:val="2"/>
          <w:sz w:val="21"/>
          <w:szCs w:val="21"/>
          <w:highlight w:val="none"/>
        </w:rPr>
      </w:pPr>
      <w:r>
        <w:rPr>
          <w:rFonts w:hint="eastAsia" w:ascii="Times New Roman" w:hAnsi="Times New Roman" w:cs="宋体"/>
          <w:color w:val="auto"/>
          <w:kern w:val="2"/>
          <w:sz w:val="21"/>
          <w:szCs w:val="21"/>
          <w:highlight w:val="none"/>
        </w:rPr>
        <w:t>4</w:t>
      </w:r>
      <w:r>
        <w:rPr>
          <w:rFonts w:hint="eastAsia" w:ascii="宋体" w:hAnsi="宋体" w:cs="宋体"/>
          <w:color w:val="auto"/>
          <w:kern w:val="2"/>
          <w:sz w:val="21"/>
          <w:szCs w:val="21"/>
          <w:highlight w:val="none"/>
        </w:rPr>
        <w:t>.我们同意从规定的开标日期起遵循本投标文件，并在规定的投标有效期期满之前均具有约束力。</w:t>
      </w:r>
    </w:p>
    <w:p w14:paraId="6B40C696">
      <w:pPr>
        <w:pStyle w:val="169"/>
        <w:shd w:val="clear"/>
        <w:spacing w:before="0" w:after="0"/>
        <w:ind w:firstLine="420" w:firstLineChars="200"/>
        <w:rPr>
          <w:rFonts w:ascii="宋体" w:hAnsi="宋体" w:cs="宋体"/>
          <w:color w:val="auto"/>
          <w:kern w:val="2"/>
          <w:sz w:val="21"/>
          <w:szCs w:val="21"/>
          <w:highlight w:val="none"/>
        </w:rPr>
      </w:pPr>
      <w:r>
        <w:rPr>
          <w:rFonts w:hint="eastAsia" w:ascii="Times New Roman" w:hAnsi="Times New Roman" w:cs="宋体"/>
          <w:color w:val="auto"/>
          <w:kern w:val="2"/>
          <w:sz w:val="21"/>
          <w:szCs w:val="21"/>
          <w:highlight w:val="none"/>
        </w:rPr>
        <w:t>5</w:t>
      </w:r>
      <w:r>
        <w:rPr>
          <w:rFonts w:hint="eastAsia" w:ascii="宋体" w:hAnsi="宋体" w:cs="宋体"/>
          <w:color w:val="auto"/>
          <w:kern w:val="2"/>
          <w:sz w:val="21"/>
          <w:szCs w:val="21"/>
          <w:highlight w:val="none"/>
        </w:rPr>
        <w:t>.同意向贵方提供贵方可能另外要求的与投标有关的任何证据或资料，并保证我方已提供和将要提供的文件是真实的、准确的。</w:t>
      </w:r>
    </w:p>
    <w:p w14:paraId="2B4B655A">
      <w:pPr>
        <w:pStyle w:val="169"/>
        <w:shd w:val="clear"/>
        <w:spacing w:before="0" w:after="0"/>
        <w:ind w:firstLine="420" w:firstLineChars="200"/>
        <w:rPr>
          <w:rFonts w:ascii="宋体" w:hAnsi="宋体" w:cs="宋体"/>
          <w:color w:val="auto"/>
          <w:kern w:val="2"/>
          <w:sz w:val="21"/>
          <w:szCs w:val="21"/>
          <w:highlight w:val="none"/>
        </w:rPr>
      </w:pPr>
      <w:r>
        <w:rPr>
          <w:rFonts w:hint="eastAsia" w:ascii="Times New Roman" w:hAnsi="Times New Roman" w:cs="宋体"/>
          <w:color w:val="auto"/>
          <w:kern w:val="2"/>
          <w:sz w:val="21"/>
          <w:szCs w:val="21"/>
          <w:highlight w:val="none"/>
        </w:rPr>
        <w:t>6</w:t>
      </w:r>
      <w:r>
        <w:rPr>
          <w:rFonts w:hint="eastAsia" w:ascii="宋体" w:hAnsi="宋体" w:cs="宋体"/>
          <w:color w:val="auto"/>
          <w:kern w:val="2"/>
          <w:sz w:val="21"/>
          <w:szCs w:val="21"/>
          <w:highlight w:val="none"/>
        </w:rPr>
        <w:t>.一旦我方中标,我方将根据招标文件的规定，严格履行合同的责任和义务,并保证在招标文件规定的时间完成项目，交付买方验收、使用。</w:t>
      </w:r>
    </w:p>
    <w:p w14:paraId="3EAD3038">
      <w:pPr>
        <w:pStyle w:val="169"/>
        <w:shd w:val="clear"/>
        <w:spacing w:before="0" w:after="0"/>
        <w:ind w:firstLine="420" w:firstLineChars="200"/>
        <w:rPr>
          <w:rFonts w:ascii="宋体" w:hAnsi="宋体" w:cs="宋体"/>
          <w:color w:val="auto"/>
          <w:kern w:val="2"/>
          <w:sz w:val="21"/>
          <w:szCs w:val="21"/>
          <w:highlight w:val="none"/>
        </w:rPr>
      </w:pPr>
      <w:r>
        <w:rPr>
          <w:rFonts w:hint="eastAsia" w:ascii="Times New Roman" w:hAnsi="Times New Roman" w:cs="宋体"/>
          <w:color w:val="auto"/>
          <w:kern w:val="2"/>
          <w:sz w:val="21"/>
          <w:szCs w:val="21"/>
          <w:highlight w:val="none"/>
        </w:rPr>
        <w:t>7</w:t>
      </w:r>
      <w:r>
        <w:rPr>
          <w:rFonts w:hint="eastAsia" w:ascii="宋体" w:hAnsi="宋体" w:cs="宋体"/>
          <w:color w:val="auto"/>
          <w:kern w:val="2"/>
          <w:sz w:val="21"/>
          <w:szCs w:val="21"/>
          <w:highlight w:val="none"/>
        </w:rPr>
        <w:t>.与本投标有关的正式通讯地址为：</w:t>
      </w:r>
    </w:p>
    <w:p w14:paraId="554BD40D">
      <w:pPr>
        <w:pStyle w:val="169"/>
        <w:shd w:val="clear"/>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 址：</w:t>
      </w:r>
    </w:p>
    <w:p w14:paraId="47993199">
      <w:pPr>
        <w:pStyle w:val="169"/>
        <w:shd w:val="clear"/>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邮 编：</w:t>
      </w:r>
    </w:p>
    <w:p w14:paraId="4AEE5B85">
      <w:pPr>
        <w:pStyle w:val="169"/>
        <w:shd w:val="clear"/>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电 话： </w:t>
      </w:r>
    </w:p>
    <w:p w14:paraId="0D8B9A0D">
      <w:pPr>
        <w:pStyle w:val="169"/>
        <w:shd w:val="clear"/>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传 真： </w:t>
      </w:r>
    </w:p>
    <w:p w14:paraId="2B95E0F9">
      <w:pPr>
        <w:pStyle w:val="169"/>
        <w:shd w:val="clear"/>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投标人开户行：</w:t>
      </w:r>
    </w:p>
    <w:p w14:paraId="0CF77F4E">
      <w:pPr>
        <w:pStyle w:val="169"/>
        <w:shd w:val="clear"/>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账 户： </w:t>
      </w:r>
    </w:p>
    <w:p w14:paraId="396D47DF">
      <w:pPr>
        <w:pStyle w:val="169"/>
        <w:shd w:val="clear"/>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行 号：</w:t>
      </w:r>
    </w:p>
    <w:p w14:paraId="1491E133">
      <w:pPr>
        <w:pStyle w:val="169"/>
        <w:shd w:val="clear"/>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法定代表人或授权代表（签字）： </w:t>
      </w:r>
    </w:p>
    <w:p w14:paraId="7012E58C">
      <w:pPr>
        <w:pStyle w:val="169"/>
        <w:shd w:val="clear"/>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投标人名称（公章）： </w:t>
      </w:r>
    </w:p>
    <w:p w14:paraId="0C4EAB11">
      <w:pPr>
        <w:pStyle w:val="169"/>
        <w:shd w:val="clear"/>
        <w:spacing w:before="0" w:after="0"/>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日 期：________年____月____日</w:t>
      </w:r>
    </w:p>
    <w:p w14:paraId="4D003F20">
      <w:pPr>
        <w:shd w:val="clear"/>
        <w:spacing w:line="360" w:lineRule="auto"/>
        <w:ind w:firstLine="422" w:firstLineChars="200"/>
        <w:jc w:val="center"/>
        <w:rPr>
          <w:rFonts w:ascii="宋体" w:hAnsi="宋体" w:cs="宋体"/>
          <w:b/>
          <w:bCs/>
          <w:color w:val="auto"/>
          <w:szCs w:val="21"/>
          <w:highlight w:val="none"/>
        </w:rPr>
      </w:pPr>
    </w:p>
    <w:p w14:paraId="3F9EAD4F">
      <w:pPr>
        <w:shd w:val="clear"/>
        <w:spacing w:line="360" w:lineRule="auto"/>
        <w:jc w:val="center"/>
        <w:rPr>
          <w:rFonts w:ascii="宋体" w:hAnsi="宋体" w:cs="宋体"/>
          <w:b/>
          <w:bCs/>
          <w:color w:val="auto"/>
          <w:kern w:val="0"/>
          <w:szCs w:val="21"/>
          <w:highlight w:val="none"/>
        </w:rPr>
      </w:pPr>
      <w:r>
        <w:rPr>
          <w:rFonts w:hint="eastAsia" w:ascii="宋体" w:hAnsi="宋体" w:cs="宋体"/>
          <w:b/>
          <w:bCs/>
          <w:color w:val="auto"/>
          <w:szCs w:val="21"/>
          <w:highlight w:val="none"/>
        </w:rPr>
        <w:br w:type="page"/>
      </w:r>
      <w:r>
        <w:rPr>
          <w:rFonts w:hint="eastAsia" w:ascii="宋体" w:hAnsi="宋体" w:cs="宋体"/>
          <w:b/>
          <w:bCs/>
          <w:color w:val="auto"/>
          <w:szCs w:val="21"/>
          <w:highlight w:val="none"/>
        </w:rPr>
        <w:t>资 格 声 明</w:t>
      </w:r>
    </w:p>
    <w:p w14:paraId="0F558C62">
      <w:pPr>
        <w:shd w:val="clear"/>
        <w:spacing w:line="360" w:lineRule="auto"/>
        <w:ind w:firstLine="420" w:firstLineChars="200"/>
        <w:jc w:val="left"/>
        <w:rPr>
          <w:rFonts w:ascii="宋体" w:hAnsi="宋体" w:cs="宋体"/>
          <w:b/>
          <w:bCs/>
          <w:color w:val="auto"/>
          <w:kern w:val="0"/>
          <w:szCs w:val="21"/>
          <w:highlight w:val="none"/>
        </w:rPr>
      </w:pPr>
      <w:r>
        <w:rPr>
          <w:rFonts w:hint="eastAsia" w:cs="宋体"/>
          <w:color w:val="auto"/>
          <w:szCs w:val="21"/>
          <w:highlight w:val="none"/>
        </w:rPr>
        <w:t>1</w:t>
      </w:r>
      <w:r>
        <w:rPr>
          <w:rFonts w:hint="eastAsia" w:ascii="宋体" w:hAnsi="宋体" w:cs="宋体"/>
          <w:color w:val="auto"/>
          <w:szCs w:val="21"/>
          <w:highlight w:val="none"/>
        </w:rPr>
        <w:t>、名称及其它情况：</w:t>
      </w:r>
    </w:p>
    <w:p w14:paraId="3D8A2F03">
      <w:pPr>
        <w:shd w:val="clea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1</w:t>
      </w:r>
      <w:r>
        <w:rPr>
          <w:rFonts w:hint="eastAsia" w:ascii="宋体" w:hAnsi="宋体" w:cs="宋体"/>
          <w:color w:val="auto"/>
          <w:szCs w:val="21"/>
          <w:highlight w:val="none"/>
        </w:rPr>
        <w:t>）投标人名称：</w:t>
      </w:r>
    </w:p>
    <w:p w14:paraId="101B9481">
      <w:pPr>
        <w:shd w:val="clear"/>
        <w:tabs>
          <w:tab w:val="left" w:pos="4530"/>
        </w:tabs>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2</w:t>
      </w:r>
      <w:r>
        <w:rPr>
          <w:rFonts w:hint="eastAsia" w:ascii="宋体" w:hAnsi="宋体" w:cs="宋体"/>
          <w:color w:val="auto"/>
          <w:szCs w:val="21"/>
          <w:highlight w:val="none"/>
        </w:rPr>
        <w:t>）地址：</w:t>
      </w:r>
      <w:r>
        <w:rPr>
          <w:rFonts w:hint="eastAsia" w:ascii="宋体" w:hAnsi="宋体" w:cs="宋体"/>
          <w:color w:val="auto"/>
          <w:szCs w:val="21"/>
          <w:highlight w:val="none"/>
        </w:rPr>
        <w:tab/>
      </w:r>
      <w:r>
        <w:rPr>
          <w:rFonts w:hint="eastAsia" w:ascii="宋体" w:hAnsi="宋体" w:cs="宋体"/>
          <w:color w:val="auto"/>
          <w:szCs w:val="21"/>
          <w:highlight w:val="none"/>
        </w:rPr>
        <w:t>邮编：</w:t>
      </w:r>
    </w:p>
    <w:p w14:paraId="69D54218">
      <w:pPr>
        <w:shd w:val="clear"/>
        <w:tabs>
          <w:tab w:val="left" w:pos="600"/>
          <w:tab w:val="left" w:pos="432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电话：  传真：</w:t>
      </w:r>
    </w:p>
    <w:p w14:paraId="6F4C3168">
      <w:pPr>
        <w:shd w:val="clea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w:t>
      </w:r>
      <w:r>
        <w:rPr>
          <w:rFonts w:hint="eastAsia" w:cs="宋体"/>
          <w:color w:val="auto"/>
          <w:szCs w:val="21"/>
          <w:highlight w:val="none"/>
        </w:rPr>
        <w:t>3</w:t>
      </w:r>
      <w:r>
        <w:rPr>
          <w:rFonts w:hint="eastAsia" w:ascii="宋体" w:hAnsi="宋体" w:cs="宋体"/>
          <w:color w:val="auto"/>
          <w:szCs w:val="21"/>
          <w:highlight w:val="none"/>
        </w:rPr>
        <w:t>）成立和/或注册日期：</w:t>
      </w:r>
    </w:p>
    <w:p w14:paraId="0AE42A37">
      <w:pPr>
        <w:shd w:val="clea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4</w:t>
      </w:r>
      <w:r>
        <w:rPr>
          <w:rFonts w:hint="eastAsia" w:ascii="宋体" w:hAnsi="宋体" w:cs="宋体"/>
          <w:color w:val="auto"/>
          <w:szCs w:val="21"/>
          <w:highlight w:val="none"/>
        </w:rPr>
        <w:t>）法定代表人：</w:t>
      </w:r>
    </w:p>
    <w:p w14:paraId="0888DEC9">
      <w:pPr>
        <w:shd w:val="clea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w:t>
      </w:r>
      <w:r>
        <w:rPr>
          <w:rFonts w:hint="eastAsia" w:cs="宋体"/>
          <w:color w:val="auto"/>
          <w:szCs w:val="21"/>
          <w:highlight w:val="none"/>
        </w:rPr>
        <w:t>5</w:t>
      </w:r>
      <w:r>
        <w:rPr>
          <w:rFonts w:hint="eastAsia" w:ascii="宋体" w:hAnsi="宋体" w:cs="宋体"/>
          <w:color w:val="auto"/>
          <w:szCs w:val="21"/>
          <w:highlight w:val="none"/>
        </w:rPr>
        <w:t>）实收资本：</w:t>
      </w:r>
    </w:p>
    <w:p w14:paraId="161E8C48">
      <w:pPr>
        <w:shd w:val="clea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w:t>
      </w:r>
      <w:r>
        <w:rPr>
          <w:rFonts w:hint="eastAsia" w:cs="宋体"/>
          <w:color w:val="auto"/>
          <w:szCs w:val="21"/>
          <w:highlight w:val="none"/>
        </w:rPr>
        <w:t>6</w:t>
      </w:r>
      <w:r>
        <w:rPr>
          <w:rFonts w:hint="eastAsia" w:ascii="宋体" w:hAnsi="宋体" w:cs="宋体"/>
          <w:color w:val="auto"/>
          <w:szCs w:val="21"/>
          <w:highlight w:val="none"/>
        </w:rPr>
        <w:t>）近期资产负债表：（到</w:t>
      </w:r>
      <w:r>
        <w:rPr>
          <w:rFonts w:hint="eastAsia" w:cs="宋体"/>
          <w:color w:val="auto"/>
          <w:szCs w:val="21"/>
          <w:highlight w:val="none"/>
          <w:u w:val="single"/>
        </w:rPr>
        <w:t>20</w:t>
      </w:r>
      <w:r>
        <w:rPr>
          <w:rFonts w:hint="eastAsia" w:ascii="宋体" w:hAnsi="宋体" w:cs="宋体"/>
          <w:color w:val="auto"/>
          <w:szCs w:val="21"/>
          <w:highlight w:val="none"/>
          <w:u w:val="single"/>
        </w:rPr>
        <w:t xml:space="preserve">  年</w:t>
      </w:r>
      <w:r>
        <w:rPr>
          <w:rFonts w:hint="eastAsia" w:cs="宋体"/>
          <w:color w:val="auto"/>
          <w:szCs w:val="21"/>
          <w:highlight w:val="none"/>
          <w:u w:val="single"/>
        </w:rPr>
        <w:t>12</w:t>
      </w:r>
      <w:r>
        <w:rPr>
          <w:rFonts w:hint="eastAsia" w:ascii="宋体" w:hAnsi="宋体" w:cs="宋体"/>
          <w:color w:val="auto"/>
          <w:szCs w:val="21"/>
          <w:highlight w:val="none"/>
          <w:u w:val="single"/>
        </w:rPr>
        <w:t>月</w:t>
      </w:r>
      <w:r>
        <w:rPr>
          <w:rFonts w:hint="eastAsia" w:cs="宋体"/>
          <w:color w:val="auto"/>
          <w:szCs w:val="21"/>
          <w:highlight w:val="none"/>
          <w:u w:val="single"/>
        </w:rPr>
        <w:t>31</w:t>
      </w:r>
      <w:r>
        <w:rPr>
          <w:rFonts w:hint="eastAsia" w:ascii="宋体" w:hAnsi="宋体" w:cs="宋体"/>
          <w:color w:val="auto"/>
          <w:szCs w:val="21"/>
          <w:highlight w:val="none"/>
          <w:u w:val="single"/>
        </w:rPr>
        <w:t>日</w:t>
      </w:r>
      <w:r>
        <w:rPr>
          <w:rFonts w:hint="eastAsia" w:ascii="宋体" w:hAnsi="宋体" w:cs="宋体"/>
          <w:color w:val="auto"/>
          <w:szCs w:val="21"/>
          <w:highlight w:val="none"/>
        </w:rPr>
        <w:t>）</w:t>
      </w:r>
    </w:p>
    <w:p w14:paraId="5478E842">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&lt;</w:t>
      </w:r>
      <w:r>
        <w:rPr>
          <w:rFonts w:hint="eastAsia" w:cs="宋体"/>
          <w:color w:val="auto"/>
          <w:highlight w:val="none"/>
        </w:rPr>
        <w:t>1</w:t>
      </w:r>
      <w:r>
        <w:rPr>
          <w:rFonts w:hint="eastAsia" w:ascii="宋体" w:hAnsi="宋体" w:cs="宋体"/>
          <w:color w:val="auto"/>
          <w:highlight w:val="none"/>
        </w:rPr>
        <w:t>&gt; 固定资产：</w:t>
      </w:r>
    </w:p>
    <w:p w14:paraId="2B1BAF6C">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&lt;</w:t>
      </w:r>
      <w:r>
        <w:rPr>
          <w:rFonts w:hint="eastAsia" w:cs="宋体"/>
          <w:color w:val="auto"/>
          <w:highlight w:val="none"/>
        </w:rPr>
        <w:t>2</w:t>
      </w:r>
      <w:r>
        <w:rPr>
          <w:rFonts w:hint="eastAsia" w:ascii="宋体" w:hAnsi="宋体" w:cs="宋体"/>
          <w:color w:val="auto"/>
          <w:highlight w:val="none"/>
        </w:rPr>
        <w:t>&gt; 流动资金：</w:t>
      </w:r>
    </w:p>
    <w:p w14:paraId="4BF797CC">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&lt;</w:t>
      </w:r>
      <w:r>
        <w:rPr>
          <w:rFonts w:hint="eastAsia" w:cs="宋体"/>
          <w:color w:val="auto"/>
          <w:highlight w:val="none"/>
        </w:rPr>
        <w:t>3</w:t>
      </w:r>
      <w:r>
        <w:rPr>
          <w:rFonts w:hint="eastAsia" w:ascii="宋体" w:hAnsi="宋体" w:cs="宋体"/>
          <w:color w:val="auto"/>
          <w:highlight w:val="none"/>
        </w:rPr>
        <w:t>&gt; 长期负债：</w:t>
      </w:r>
    </w:p>
    <w:p w14:paraId="58F7E1D5">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&lt;</w:t>
      </w:r>
      <w:r>
        <w:rPr>
          <w:rFonts w:hint="eastAsia" w:cs="宋体"/>
          <w:color w:val="auto"/>
          <w:highlight w:val="none"/>
        </w:rPr>
        <w:t>4</w:t>
      </w:r>
      <w:r>
        <w:rPr>
          <w:rFonts w:hint="eastAsia" w:ascii="宋体" w:hAnsi="宋体" w:cs="宋体"/>
          <w:color w:val="auto"/>
          <w:highlight w:val="none"/>
        </w:rPr>
        <w:t>&gt; 短期负债：</w:t>
      </w:r>
    </w:p>
    <w:p w14:paraId="2EC504F5">
      <w:pPr>
        <w:shd w:val="clear"/>
        <w:spacing w:line="360" w:lineRule="auto"/>
        <w:ind w:firstLine="420" w:firstLineChars="200"/>
        <w:rPr>
          <w:rFonts w:ascii="宋体" w:hAnsi="宋体" w:cs="宋体"/>
          <w:color w:val="auto"/>
          <w:highlight w:val="none"/>
        </w:rPr>
      </w:pPr>
      <w:r>
        <w:rPr>
          <w:rFonts w:hint="eastAsia" w:cs="宋体"/>
          <w:color w:val="auto"/>
          <w:highlight w:val="none"/>
        </w:rPr>
        <w:t>2</w:t>
      </w:r>
      <w:r>
        <w:rPr>
          <w:rFonts w:hint="eastAsia" w:ascii="宋体" w:hAnsi="宋体" w:cs="宋体"/>
          <w:color w:val="auto"/>
          <w:highlight w:val="none"/>
        </w:rPr>
        <w:t>、近三年同类投标货物和服务的主要销售业绩（无有效联系人、联系方式和合同复印件的视为未填报本项目）：</w:t>
      </w:r>
    </w:p>
    <w:tbl>
      <w:tblPr>
        <w:tblStyle w:val="34"/>
        <w:tblpPr w:leftFromText="180" w:rightFromText="180" w:vertAnchor="text" w:horzAnchor="page" w:tblpXSpec="center" w:tblpY="478"/>
        <w:tblOverlap w:val="never"/>
        <w:tblW w:w="8522" w:type="dxa"/>
        <w:jc w:val="center"/>
        <w:tblLayout w:type="fixed"/>
        <w:tblCellMar>
          <w:top w:w="0" w:type="dxa"/>
          <w:left w:w="108" w:type="dxa"/>
          <w:bottom w:w="0" w:type="dxa"/>
          <w:right w:w="108" w:type="dxa"/>
        </w:tblCellMar>
      </w:tblPr>
      <w:tblGrid>
        <w:gridCol w:w="4271"/>
        <w:gridCol w:w="4251"/>
      </w:tblGrid>
      <w:tr w14:paraId="2A643EF9">
        <w:tblPrEx>
          <w:tblCellMar>
            <w:top w:w="0" w:type="dxa"/>
            <w:left w:w="108" w:type="dxa"/>
            <w:bottom w:w="0" w:type="dxa"/>
            <w:right w:w="108" w:type="dxa"/>
          </w:tblCellMar>
        </w:tblPrEx>
        <w:trPr>
          <w:jc w:val="center"/>
        </w:trPr>
        <w:tc>
          <w:tcPr>
            <w:tcW w:w="4271" w:type="dxa"/>
          </w:tcPr>
          <w:p w14:paraId="3BCF63E7">
            <w:pPr>
              <w:shd w:val="clear"/>
              <w:adjustRightInd w:val="0"/>
              <w:snapToGrid w:val="0"/>
              <w:spacing w:after="200" w:line="360" w:lineRule="auto"/>
              <w:jc w:val="center"/>
              <w:rPr>
                <w:rFonts w:ascii="宋体" w:hAnsi="宋体" w:cs="宋体"/>
                <w:color w:val="auto"/>
                <w:highlight w:val="none"/>
                <w:u w:val="single"/>
              </w:rPr>
            </w:pPr>
            <w:r>
              <w:rPr>
                <w:rFonts w:hint="eastAsia" w:ascii="宋体" w:hAnsi="宋体" w:cs="宋体"/>
                <w:color w:val="auto"/>
                <w:highlight w:val="none"/>
                <w:u w:val="single"/>
              </w:rPr>
              <w:t>甲方名称、联系人、联系方式</w:t>
            </w:r>
          </w:p>
        </w:tc>
        <w:tc>
          <w:tcPr>
            <w:tcW w:w="4251" w:type="dxa"/>
          </w:tcPr>
          <w:p w14:paraId="6005E670">
            <w:pPr>
              <w:shd w:val="clear"/>
              <w:adjustRightInd w:val="0"/>
              <w:snapToGrid w:val="0"/>
              <w:spacing w:after="200" w:line="360" w:lineRule="auto"/>
              <w:jc w:val="center"/>
              <w:rPr>
                <w:rFonts w:ascii="宋体" w:hAnsi="宋体" w:cs="宋体"/>
                <w:color w:val="auto"/>
                <w:highlight w:val="none"/>
                <w:u w:val="single"/>
              </w:rPr>
            </w:pPr>
            <w:r>
              <w:rPr>
                <w:rFonts w:hint="eastAsia" w:ascii="宋体" w:hAnsi="宋体" w:cs="宋体"/>
                <w:color w:val="auto"/>
                <w:highlight w:val="none"/>
                <w:u w:val="single"/>
              </w:rPr>
              <w:t>项   目   名   称</w:t>
            </w:r>
          </w:p>
        </w:tc>
      </w:tr>
      <w:tr w14:paraId="44B8A518">
        <w:tblPrEx>
          <w:tblCellMar>
            <w:top w:w="0" w:type="dxa"/>
            <w:left w:w="108" w:type="dxa"/>
            <w:bottom w:w="0" w:type="dxa"/>
            <w:right w:w="108" w:type="dxa"/>
          </w:tblCellMar>
        </w:tblPrEx>
        <w:trPr>
          <w:jc w:val="center"/>
        </w:trPr>
        <w:tc>
          <w:tcPr>
            <w:tcW w:w="4271" w:type="dxa"/>
          </w:tcPr>
          <w:p w14:paraId="1DE77BBC">
            <w:pPr>
              <w:shd w:val="clear"/>
              <w:adjustRightInd w:val="0"/>
              <w:snapToGrid w:val="0"/>
              <w:spacing w:after="200" w:line="360" w:lineRule="auto"/>
              <w:rPr>
                <w:rFonts w:ascii="宋体" w:hAnsi="宋体" w:cs="宋体"/>
                <w:color w:val="auto"/>
                <w:highlight w:val="none"/>
              </w:rPr>
            </w:pPr>
          </w:p>
        </w:tc>
        <w:tc>
          <w:tcPr>
            <w:tcW w:w="4251" w:type="dxa"/>
          </w:tcPr>
          <w:p w14:paraId="70374C6A">
            <w:pPr>
              <w:shd w:val="clear"/>
              <w:adjustRightInd w:val="0"/>
              <w:snapToGrid w:val="0"/>
              <w:spacing w:after="200" w:line="360" w:lineRule="auto"/>
              <w:rPr>
                <w:rFonts w:ascii="宋体" w:hAnsi="宋体" w:cs="宋体"/>
                <w:color w:val="auto"/>
                <w:highlight w:val="none"/>
              </w:rPr>
            </w:pPr>
          </w:p>
        </w:tc>
      </w:tr>
      <w:tr w14:paraId="2BC2D09F">
        <w:tblPrEx>
          <w:tblCellMar>
            <w:top w:w="0" w:type="dxa"/>
            <w:left w:w="108" w:type="dxa"/>
            <w:bottom w:w="0" w:type="dxa"/>
            <w:right w:w="108" w:type="dxa"/>
          </w:tblCellMar>
        </w:tblPrEx>
        <w:trPr>
          <w:jc w:val="center"/>
        </w:trPr>
        <w:tc>
          <w:tcPr>
            <w:tcW w:w="4271" w:type="dxa"/>
          </w:tcPr>
          <w:p w14:paraId="4CCC95C4">
            <w:pPr>
              <w:shd w:val="clear"/>
              <w:adjustRightInd w:val="0"/>
              <w:snapToGrid w:val="0"/>
              <w:spacing w:after="200" w:line="360" w:lineRule="auto"/>
              <w:rPr>
                <w:rFonts w:ascii="宋体" w:hAnsi="宋体" w:cs="宋体"/>
                <w:color w:val="auto"/>
                <w:highlight w:val="none"/>
              </w:rPr>
            </w:pPr>
          </w:p>
        </w:tc>
        <w:tc>
          <w:tcPr>
            <w:tcW w:w="4251" w:type="dxa"/>
          </w:tcPr>
          <w:p w14:paraId="1DC63845">
            <w:pPr>
              <w:shd w:val="clear"/>
              <w:adjustRightInd w:val="0"/>
              <w:snapToGrid w:val="0"/>
              <w:spacing w:after="200" w:line="360" w:lineRule="auto"/>
              <w:rPr>
                <w:rFonts w:ascii="宋体" w:hAnsi="宋体" w:cs="宋体"/>
                <w:color w:val="auto"/>
                <w:highlight w:val="none"/>
              </w:rPr>
            </w:pPr>
          </w:p>
        </w:tc>
      </w:tr>
    </w:tbl>
    <w:p w14:paraId="1E3148DC">
      <w:pPr>
        <w:shd w:val="clear"/>
        <w:spacing w:line="360" w:lineRule="auto"/>
        <w:rPr>
          <w:rFonts w:ascii="宋体" w:hAnsi="宋体" w:cs="宋体"/>
          <w:color w:val="auto"/>
          <w:highlight w:val="none"/>
        </w:rPr>
      </w:pPr>
    </w:p>
    <w:p w14:paraId="2D1A5912">
      <w:pPr>
        <w:shd w:val="clear"/>
        <w:spacing w:line="360" w:lineRule="auto"/>
        <w:ind w:left="105" w:leftChars="50" w:firstLine="315" w:firstLineChars="150"/>
        <w:rPr>
          <w:rFonts w:ascii="宋体" w:hAnsi="宋体" w:cs="宋体"/>
          <w:color w:val="auto"/>
          <w:kern w:val="0"/>
          <w:sz w:val="22"/>
          <w:highlight w:val="none"/>
        </w:rPr>
      </w:pPr>
      <w:r>
        <w:rPr>
          <w:rFonts w:hint="eastAsia" w:cs="宋体"/>
          <w:color w:val="auto"/>
          <w:highlight w:val="none"/>
        </w:rPr>
        <w:t>3</w:t>
      </w:r>
      <w:r>
        <w:rPr>
          <w:rFonts w:hint="eastAsia" w:ascii="宋体" w:hAnsi="宋体" w:cs="宋体"/>
          <w:color w:val="auto"/>
          <w:highlight w:val="none"/>
        </w:rPr>
        <w:t>、本次招标要求的其他资格文件以及投标人认为需要声明的其他情况：</w:t>
      </w:r>
    </w:p>
    <w:p w14:paraId="2A830A6B">
      <w:pPr>
        <w:shd w:val="clear"/>
        <w:spacing w:line="360" w:lineRule="auto"/>
        <w:ind w:firstLine="420" w:firstLineChars="200"/>
        <w:rPr>
          <w:rFonts w:ascii="宋体" w:hAnsi="宋体" w:cs="宋体"/>
          <w:color w:val="auto"/>
          <w:highlight w:val="none"/>
        </w:rPr>
      </w:pPr>
      <w:r>
        <w:rPr>
          <w:rFonts w:hint="eastAsia" w:ascii="宋体" w:hAnsi="宋体" w:cs="宋体"/>
          <w:color w:val="auto"/>
          <w:highlight w:val="none"/>
        </w:rPr>
        <w:t>兹证明上述声明是真实的、正确的，并提供了全部能提供的资料和数据，我们同意遵照贵方要求出示有关证明文件，如有虚假，自愿丧失中标资格，一年内退出扬州政府采购市场。</w:t>
      </w:r>
    </w:p>
    <w:p w14:paraId="5D71B92C">
      <w:pPr>
        <w:shd w:val="clear"/>
        <w:spacing w:line="360" w:lineRule="auto"/>
        <w:rPr>
          <w:rFonts w:ascii="宋体" w:hAnsi="宋体" w:cs="宋体"/>
          <w:color w:val="auto"/>
          <w:highlight w:val="none"/>
        </w:rPr>
      </w:pPr>
      <w:r>
        <w:rPr>
          <w:rFonts w:hint="eastAsia" w:ascii="宋体" w:hAnsi="宋体" w:cs="宋体"/>
          <w:color w:val="auto"/>
          <w:highlight w:val="none"/>
        </w:rPr>
        <w:t>投标人公章：</w:t>
      </w:r>
    </w:p>
    <w:p w14:paraId="7DB96018">
      <w:pPr>
        <w:shd w:val="clear"/>
        <w:spacing w:line="360" w:lineRule="auto"/>
        <w:rPr>
          <w:rFonts w:ascii="宋体" w:hAnsi="宋体" w:cs="宋体"/>
          <w:color w:val="auto"/>
          <w:highlight w:val="none"/>
        </w:rPr>
      </w:pPr>
      <w:r>
        <w:rPr>
          <w:rFonts w:hint="eastAsia" w:ascii="宋体" w:hAnsi="宋体" w:cs="宋体"/>
          <w:color w:val="auto"/>
          <w:highlight w:val="none"/>
        </w:rPr>
        <w:t>法定代表人或授权代表签字：</w:t>
      </w:r>
    </w:p>
    <w:p w14:paraId="24279742">
      <w:pPr>
        <w:shd w:val="clear"/>
        <w:spacing w:line="360" w:lineRule="auto"/>
        <w:rPr>
          <w:rFonts w:ascii="宋体" w:hAnsi="宋体" w:cs="宋体"/>
          <w:color w:val="auto"/>
          <w:highlight w:val="none"/>
        </w:rPr>
      </w:pPr>
      <w:r>
        <w:rPr>
          <w:rFonts w:hint="eastAsia" w:ascii="宋体" w:hAnsi="宋体" w:cs="宋体"/>
          <w:color w:val="auto"/>
          <w:highlight w:val="none"/>
        </w:rPr>
        <w:t xml:space="preserve">日期：年月日        </w:t>
      </w:r>
    </w:p>
    <w:p w14:paraId="4B89615C">
      <w:pPr>
        <w:shd w:val="clear"/>
        <w:spacing w:line="360" w:lineRule="auto"/>
        <w:rPr>
          <w:rFonts w:ascii="宋体" w:hAnsi="宋体" w:cs="宋体"/>
          <w:b/>
          <w:bCs/>
          <w:color w:val="auto"/>
          <w:highlight w:val="none"/>
        </w:rPr>
      </w:pPr>
      <w:r>
        <w:rPr>
          <w:rFonts w:hint="eastAsia" w:ascii="宋体" w:hAnsi="宋体" w:cs="宋体"/>
          <w:b/>
          <w:bCs/>
          <w:color w:val="auto"/>
          <w:highlight w:val="none"/>
        </w:rPr>
        <w:t>（注：资格声明为格式文件,请勿修改，否则将导致投标文件无效。）</w:t>
      </w:r>
    </w:p>
    <w:p w14:paraId="1032B706">
      <w:pPr>
        <w:shd w:val="clear"/>
        <w:spacing w:line="460" w:lineRule="exact"/>
        <w:rPr>
          <w:rFonts w:ascii="宋体" w:hAnsi="宋体" w:cs="宋体"/>
          <w:bCs/>
          <w:color w:val="auto"/>
          <w:sz w:val="24"/>
          <w:highlight w:val="none"/>
        </w:rPr>
      </w:pPr>
    </w:p>
    <w:p w14:paraId="685C4600">
      <w:pPr>
        <w:shd w:val="clear"/>
        <w:rPr>
          <w:rFonts w:hint="eastAsia" w:ascii="宋体" w:hAnsi="宋体" w:cs="宋体"/>
          <w:b/>
          <w:color w:val="auto"/>
          <w:sz w:val="21"/>
          <w:szCs w:val="21"/>
          <w:highlight w:val="none"/>
        </w:rPr>
      </w:pPr>
      <w:r>
        <w:rPr>
          <w:rFonts w:hint="eastAsia" w:ascii="宋体" w:hAnsi="宋体" w:cs="宋体"/>
          <w:b/>
          <w:color w:val="auto"/>
          <w:sz w:val="21"/>
          <w:szCs w:val="21"/>
          <w:highlight w:val="none"/>
        </w:rPr>
        <w:br w:type="page"/>
      </w:r>
    </w:p>
    <w:p w14:paraId="15F45D97">
      <w:pPr>
        <w:pStyle w:val="153"/>
        <w:shd w:val="clear"/>
        <w:spacing w:afterLines="100" w:line="360" w:lineRule="auto"/>
        <w:ind w:firstLine="0" w:firstLineChars="0"/>
        <w:jc w:val="center"/>
        <w:rPr>
          <w:rFonts w:ascii="宋体" w:hAnsi="宋体" w:cs="宋体"/>
          <w:b/>
          <w:color w:val="auto"/>
          <w:sz w:val="21"/>
          <w:szCs w:val="21"/>
          <w:highlight w:val="none"/>
        </w:rPr>
      </w:pPr>
      <w:r>
        <w:rPr>
          <w:rFonts w:hint="eastAsia" w:ascii="宋体" w:hAnsi="宋体" w:cs="宋体"/>
          <w:b/>
          <w:color w:val="auto"/>
          <w:sz w:val="21"/>
          <w:szCs w:val="21"/>
          <w:highlight w:val="none"/>
        </w:rPr>
        <w:t>法人授权书</w:t>
      </w:r>
    </w:p>
    <w:p w14:paraId="23208132">
      <w:pPr>
        <w:pStyle w:val="153"/>
        <w:shd w:val="clea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本授权书声明：________________（投标人名称）授权________________（被授权人的姓名）为我方就</w:t>
      </w:r>
      <w:r>
        <w:rPr>
          <w:rFonts w:hint="eastAsia" w:cs="宋体"/>
          <w:color w:val="auto"/>
          <w:sz w:val="21"/>
          <w:szCs w:val="21"/>
          <w:highlight w:val="none"/>
          <w:u w:val="single"/>
          <w:lang w:eastAsia="zh-CN"/>
        </w:rPr>
        <w:t>JSSDZX-2025124号GZ627地块房地产开发项目营销代理服务</w:t>
      </w:r>
      <w:r>
        <w:rPr>
          <w:rFonts w:hint="eastAsia" w:ascii="宋体" w:hAnsi="宋体" w:cs="宋体"/>
          <w:color w:val="auto"/>
          <w:sz w:val="21"/>
          <w:szCs w:val="21"/>
          <w:highlight w:val="none"/>
        </w:rPr>
        <w:t>采购活动的合法代理人，以本公司名义全权处理一切与该项目采购有关的事务。</w:t>
      </w:r>
    </w:p>
    <w:p w14:paraId="11E63E5D">
      <w:pPr>
        <w:pStyle w:val="153"/>
        <w:shd w:val="clea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本授权书于______年____月____日起生效，特此声明。</w:t>
      </w:r>
    </w:p>
    <w:p w14:paraId="170D95BD">
      <w:pPr>
        <w:pStyle w:val="153"/>
        <w:shd w:val="clear"/>
        <w:spacing w:line="360" w:lineRule="auto"/>
        <w:ind w:firstLine="0" w:firstLineChars="0"/>
        <w:rPr>
          <w:rFonts w:ascii="宋体" w:hAnsi="宋体" w:cs="宋体"/>
          <w:color w:val="auto"/>
          <w:sz w:val="21"/>
          <w:szCs w:val="21"/>
          <w:highlight w:val="none"/>
        </w:rPr>
      </w:pPr>
    </w:p>
    <w:p w14:paraId="68896E3D">
      <w:pPr>
        <w:pStyle w:val="153"/>
        <w:shd w:val="clea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被授权人签字：</w:t>
      </w:r>
    </w:p>
    <w:p w14:paraId="374E1CD1">
      <w:pPr>
        <w:pStyle w:val="153"/>
        <w:shd w:val="clear"/>
        <w:spacing w:line="360" w:lineRule="auto"/>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联系电话（手机）：</w:t>
      </w:r>
    </w:p>
    <w:p w14:paraId="19AD9C80">
      <w:pPr>
        <w:pStyle w:val="153"/>
        <w:shd w:val="clear"/>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    单位名称：_____________________________________</w:t>
      </w:r>
    </w:p>
    <w:p w14:paraId="702DB70A">
      <w:pPr>
        <w:pStyle w:val="153"/>
        <w:shd w:val="clear"/>
        <w:spacing w:line="360" w:lineRule="auto"/>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    授权单位盖章：_________________________________</w:t>
      </w:r>
    </w:p>
    <w:p w14:paraId="47D6CEE3">
      <w:pPr>
        <w:pStyle w:val="153"/>
        <w:shd w:val="clear"/>
        <w:spacing w:line="360" w:lineRule="auto"/>
        <w:ind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地址：</w:t>
      </w:r>
    </w:p>
    <w:p w14:paraId="787476E5">
      <w:pPr>
        <w:pStyle w:val="153"/>
        <w:shd w:val="clear"/>
        <w:spacing w:line="360" w:lineRule="auto"/>
        <w:ind w:firstLine="420"/>
        <w:rPr>
          <w:rFonts w:ascii="宋体" w:hAnsi="宋体" w:cs="宋体"/>
          <w:color w:val="auto"/>
          <w:sz w:val="21"/>
          <w:szCs w:val="21"/>
          <w:highlight w:val="none"/>
        </w:rPr>
      </w:pPr>
      <w:r>
        <w:rPr>
          <w:rFonts w:hint="eastAsia" w:ascii="宋体" w:hAnsi="宋体" w:cs="宋体"/>
          <w:color w:val="auto"/>
          <w:sz w:val="21"/>
          <w:szCs w:val="21"/>
          <w:highlight w:val="none"/>
        </w:rPr>
        <w:t>日期：</w:t>
      </w:r>
    </w:p>
    <w:p w14:paraId="0E013959">
      <w:pPr>
        <w:shd w:val="clear"/>
        <w:spacing w:line="460" w:lineRule="exact"/>
        <w:rPr>
          <w:rFonts w:ascii="宋体" w:hAnsi="宋体" w:cs="宋体"/>
          <w:bCs/>
          <w:color w:val="auto"/>
          <w:szCs w:val="21"/>
          <w:highlight w:val="none"/>
        </w:rPr>
      </w:pPr>
    </w:p>
    <w:p w14:paraId="5BB36297">
      <w:pPr>
        <w:shd w:val="clear"/>
        <w:spacing w:line="460" w:lineRule="exact"/>
        <w:rPr>
          <w:rFonts w:ascii="宋体" w:hAnsi="宋体" w:cs="宋体"/>
          <w:bCs/>
          <w:color w:val="auto"/>
          <w:sz w:val="24"/>
          <w:highlight w:val="none"/>
        </w:rPr>
      </w:pPr>
    </w:p>
    <w:p w14:paraId="63CC9D0C">
      <w:pPr>
        <w:shd w:val="clear"/>
        <w:spacing w:line="4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被授权人身份证复印件：</w:t>
      </w:r>
    </w:p>
    <w:p w14:paraId="2ECC4F54">
      <w:pPr>
        <w:shd w:val="clear"/>
        <w:spacing w:line="460" w:lineRule="exact"/>
        <w:rPr>
          <w:rFonts w:ascii="宋体" w:hAnsi="宋体" w:cs="宋体"/>
          <w:bCs/>
          <w:color w:val="auto"/>
          <w:sz w:val="24"/>
          <w:highlight w:val="none"/>
        </w:rPr>
      </w:pPr>
    </w:p>
    <w:p w14:paraId="2F29B37D">
      <w:pPr>
        <w:shd w:val="clear"/>
        <w:spacing w:line="460" w:lineRule="exact"/>
        <w:rPr>
          <w:rFonts w:ascii="宋体" w:hAnsi="宋体" w:cs="宋体"/>
          <w:bCs/>
          <w:color w:val="auto"/>
          <w:sz w:val="24"/>
          <w:highlight w:val="none"/>
        </w:rPr>
      </w:pPr>
    </w:p>
    <w:p w14:paraId="623A5792">
      <w:pPr>
        <w:shd w:val="clear"/>
        <w:spacing w:line="460" w:lineRule="exact"/>
        <w:rPr>
          <w:rFonts w:ascii="宋体" w:hAnsi="宋体" w:cs="宋体"/>
          <w:bCs/>
          <w:color w:val="auto"/>
          <w:sz w:val="24"/>
          <w:highlight w:val="none"/>
        </w:rPr>
      </w:pPr>
    </w:p>
    <w:p w14:paraId="1A72CE16">
      <w:pPr>
        <w:shd w:val="clear"/>
        <w:spacing w:line="460" w:lineRule="exact"/>
        <w:rPr>
          <w:rFonts w:ascii="宋体" w:hAnsi="宋体" w:cs="宋体"/>
          <w:bCs/>
          <w:color w:val="auto"/>
          <w:sz w:val="24"/>
          <w:highlight w:val="none"/>
        </w:rPr>
      </w:pPr>
    </w:p>
    <w:p w14:paraId="49DF43AC">
      <w:pPr>
        <w:shd w:val="clear"/>
        <w:spacing w:line="460" w:lineRule="exact"/>
        <w:rPr>
          <w:rFonts w:ascii="宋体" w:hAnsi="宋体" w:cs="宋体"/>
          <w:bCs/>
          <w:color w:val="auto"/>
          <w:sz w:val="24"/>
          <w:highlight w:val="none"/>
        </w:rPr>
      </w:pPr>
    </w:p>
    <w:p w14:paraId="121E51F2">
      <w:pPr>
        <w:shd w:val="clear"/>
        <w:rPr>
          <w:rFonts w:ascii="宋体" w:hAnsi="宋体" w:cs="宋体"/>
          <w:b/>
          <w:bCs/>
          <w:color w:val="auto"/>
          <w:szCs w:val="21"/>
          <w:highlight w:val="none"/>
        </w:rPr>
      </w:pPr>
      <w:r>
        <w:rPr>
          <w:rFonts w:hint="eastAsia" w:ascii="宋体" w:hAnsi="宋体" w:cs="宋体"/>
          <w:b/>
          <w:bCs/>
          <w:color w:val="auto"/>
          <w:szCs w:val="21"/>
          <w:highlight w:val="none"/>
        </w:rPr>
        <w:br w:type="page"/>
      </w:r>
    </w:p>
    <w:p w14:paraId="6B32BC78">
      <w:pPr>
        <w:shd w:val="clea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 xml:space="preserve">参加本次采购活动前 </w:t>
      </w:r>
      <w:r>
        <w:rPr>
          <w:rFonts w:hint="eastAsia" w:cs="宋体"/>
          <w:b/>
          <w:bCs/>
          <w:color w:val="auto"/>
          <w:szCs w:val="21"/>
          <w:highlight w:val="none"/>
        </w:rPr>
        <w:t>3</w:t>
      </w:r>
      <w:r>
        <w:rPr>
          <w:rFonts w:hint="eastAsia" w:ascii="宋体" w:hAnsi="宋体" w:cs="宋体"/>
          <w:b/>
          <w:bCs/>
          <w:color w:val="auto"/>
          <w:szCs w:val="21"/>
          <w:highlight w:val="none"/>
        </w:rPr>
        <w:t xml:space="preserve"> 年内在经营活动中没有重大违法记录的书面声明</w:t>
      </w:r>
    </w:p>
    <w:p w14:paraId="1B9DB85A">
      <w:pPr>
        <w:shd w:val="clear"/>
        <w:spacing w:line="360" w:lineRule="auto"/>
        <w:rPr>
          <w:rFonts w:ascii="宋体" w:hAnsi="宋体" w:cs="宋体"/>
          <w:color w:val="auto"/>
          <w:szCs w:val="21"/>
          <w:highlight w:val="none"/>
        </w:rPr>
      </w:pPr>
    </w:p>
    <w:p w14:paraId="6C775AE4">
      <w:pPr>
        <w:shd w:val="clear"/>
        <w:spacing w:afterLines="100"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声  明</w:t>
      </w:r>
    </w:p>
    <w:p w14:paraId="153ADE60">
      <w:pPr>
        <w:shd w:val="clea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我公司郑重声明：参加本次采购活动前 </w:t>
      </w:r>
      <w:r>
        <w:rPr>
          <w:rFonts w:hint="eastAsia" w:cs="宋体"/>
          <w:bCs/>
          <w:color w:val="auto"/>
          <w:szCs w:val="21"/>
          <w:highlight w:val="none"/>
        </w:rPr>
        <w:t>3</w:t>
      </w:r>
      <w:r>
        <w:rPr>
          <w:rFonts w:hint="eastAsia" w:ascii="宋体" w:hAnsi="宋体" w:cs="宋体"/>
          <w:bCs/>
          <w:color w:val="auto"/>
          <w:szCs w:val="21"/>
          <w:highlight w:val="none"/>
        </w:rPr>
        <w:t xml:space="preserve"> 年内，我公司在经营活动中没有因违法经营受到刑事处罚或者责令停产停业、吊销许可证或者执照、较大数额罚款等行政处罚。</w:t>
      </w:r>
    </w:p>
    <w:p w14:paraId="6BE0EFD3">
      <w:pPr>
        <w:shd w:val="clea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供应商名称（公章）：</w:t>
      </w:r>
    </w:p>
    <w:p w14:paraId="7EC9C13F">
      <w:pPr>
        <w:shd w:val="clea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法定代表人或授权代表签字：_______________________</w:t>
      </w:r>
    </w:p>
    <w:p w14:paraId="6460305C">
      <w:pPr>
        <w:shd w:val="clear"/>
        <w:spacing w:line="360" w:lineRule="auto"/>
        <w:rPr>
          <w:rFonts w:ascii="宋体" w:hAnsi="宋体" w:cs="宋体"/>
          <w:bCs/>
          <w:color w:val="auto"/>
          <w:szCs w:val="21"/>
          <w:highlight w:val="none"/>
        </w:rPr>
      </w:pPr>
      <w:r>
        <w:rPr>
          <w:rFonts w:hint="eastAsia" w:ascii="宋体" w:hAnsi="宋体" w:cs="宋体"/>
          <w:bCs/>
          <w:color w:val="auto"/>
          <w:szCs w:val="21"/>
          <w:highlight w:val="none"/>
        </w:rPr>
        <w:t xml:space="preserve">                               日期：______年______月______日</w:t>
      </w:r>
    </w:p>
    <w:p w14:paraId="4E0665E3">
      <w:pPr>
        <w:shd w:val="clear"/>
        <w:spacing w:line="460" w:lineRule="exact"/>
        <w:rPr>
          <w:rFonts w:ascii="宋体" w:hAnsi="宋体" w:cs="宋体"/>
          <w:bCs/>
          <w:color w:val="auto"/>
          <w:sz w:val="24"/>
          <w:highlight w:val="none"/>
        </w:rPr>
      </w:pPr>
    </w:p>
    <w:p w14:paraId="695C2B55">
      <w:pPr>
        <w:shd w:val="clear"/>
        <w:spacing w:line="460" w:lineRule="exact"/>
        <w:rPr>
          <w:rFonts w:ascii="宋体" w:hAnsi="宋体" w:cs="宋体"/>
          <w:bCs/>
          <w:color w:val="auto"/>
          <w:sz w:val="24"/>
          <w:highlight w:val="none"/>
        </w:rPr>
      </w:pPr>
    </w:p>
    <w:p w14:paraId="4C33FE55">
      <w:pPr>
        <w:shd w:val="clear"/>
        <w:spacing w:line="460" w:lineRule="exact"/>
        <w:rPr>
          <w:rFonts w:ascii="宋体" w:hAnsi="宋体" w:cs="宋体"/>
          <w:bCs/>
          <w:color w:val="auto"/>
          <w:sz w:val="24"/>
          <w:highlight w:val="none"/>
        </w:rPr>
      </w:pPr>
    </w:p>
    <w:p w14:paraId="266AC8A0">
      <w:pPr>
        <w:shd w:val="clear"/>
        <w:spacing w:line="460" w:lineRule="exact"/>
        <w:rPr>
          <w:rFonts w:ascii="宋体" w:hAnsi="宋体" w:cs="宋体"/>
          <w:bCs/>
          <w:color w:val="auto"/>
          <w:sz w:val="24"/>
          <w:highlight w:val="none"/>
        </w:rPr>
      </w:pPr>
    </w:p>
    <w:p w14:paraId="5931812C">
      <w:pPr>
        <w:shd w:val="clear"/>
        <w:spacing w:line="460" w:lineRule="exact"/>
        <w:rPr>
          <w:rFonts w:ascii="宋体" w:hAnsi="宋体" w:cs="宋体"/>
          <w:bCs/>
          <w:color w:val="auto"/>
          <w:sz w:val="24"/>
          <w:highlight w:val="none"/>
        </w:rPr>
      </w:pPr>
    </w:p>
    <w:p w14:paraId="42ECE1D6">
      <w:pPr>
        <w:shd w:val="clear"/>
        <w:spacing w:line="460" w:lineRule="exact"/>
        <w:rPr>
          <w:rFonts w:ascii="宋体" w:hAnsi="宋体" w:cs="宋体"/>
          <w:bCs/>
          <w:color w:val="auto"/>
          <w:sz w:val="24"/>
          <w:highlight w:val="none"/>
        </w:rPr>
      </w:pPr>
    </w:p>
    <w:p w14:paraId="4C3BDE62">
      <w:pPr>
        <w:pStyle w:val="17"/>
        <w:numPr>
          <w:ilvl w:val="0"/>
          <w:numId w:val="0"/>
        </w:numPr>
        <w:shd w:val="clear"/>
        <w:rPr>
          <w:rFonts w:ascii="宋体" w:hAnsi="宋体" w:cs="宋体"/>
          <w:bCs/>
          <w:color w:val="auto"/>
          <w:sz w:val="24"/>
          <w:highlight w:val="none"/>
        </w:rPr>
      </w:pPr>
    </w:p>
    <w:p w14:paraId="0C656732">
      <w:pPr>
        <w:pStyle w:val="17"/>
        <w:numPr>
          <w:ilvl w:val="0"/>
          <w:numId w:val="0"/>
        </w:numPr>
        <w:shd w:val="clear"/>
        <w:rPr>
          <w:rFonts w:ascii="宋体" w:hAnsi="宋体" w:cs="宋体"/>
          <w:bCs/>
          <w:color w:val="auto"/>
          <w:sz w:val="24"/>
          <w:highlight w:val="none"/>
        </w:rPr>
      </w:pPr>
    </w:p>
    <w:p w14:paraId="707AF246">
      <w:pPr>
        <w:pStyle w:val="17"/>
        <w:numPr>
          <w:ilvl w:val="0"/>
          <w:numId w:val="0"/>
        </w:numPr>
        <w:shd w:val="clear"/>
        <w:rPr>
          <w:rFonts w:ascii="宋体" w:hAnsi="宋体" w:cs="宋体"/>
          <w:bCs/>
          <w:color w:val="auto"/>
          <w:sz w:val="24"/>
          <w:highlight w:val="none"/>
        </w:rPr>
      </w:pPr>
    </w:p>
    <w:p w14:paraId="5C122058">
      <w:pPr>
        <w:pStyle w:val="17"/>
        <w:numPr>
          <w:ilvl w:val="0"/>
          <w:numId w:val="0"/>
        </w:numPr>
        <w:shd w:val="clear"/>
        <w:rPr>
          <w:rFonts w:ascii="宋体" w:hAnsi="宋体" w:cs="宋体"/>
          <w:bCs/>
          <w:color w:val="auto"/>
          <w:sz w:val="24"/>
          <w:highlight w:val="none"/>
        </w:rPr>
      </w:pPr>
    </w:p>
    <w:p w14:paraId="678FA9ED">
      <w:pPr>
        <w:shd w:val="clear"/>
        <w:spacing w:line="460" w:lineRule="exact"/>
        <w:rPr>
          <w:rFonts w:ascii="宋体" w:hAnsi="宋体" w:cs="宋体"/>
          <w:bCs/>
          <w:color w:val="auto"/>
          <w:sz w:val="24"/>
          <w:highlight w:val="none"/>
        </w:rPr>
      </w:pPr>
    </w:p>
    <w:p w14:paraId="7801BC2F">
      <w:pPr>
        <w:pStyle w:val="17"/>
        <w:numPr>
          <w:ilvl w:val="0"/>
          <w:numId w:val="0"/>
        </w:numPr>
        <w:shd w:val="clear"/>
        <w:rPr>
          <w:rFonts w:ascii="宋体" w:hAnsi="宋体" w:cs="宋体"/>
          <w:bCs/>
          <w:color w:val="auto"/>
          <w:sz w:val="24"/>
          <w:highlight w:val="none"/>
        </w:rPr>
      </w:pPr>
    </w:p>
    <w:p w14:paraId="427D210B">
      <w:pPr>
        <w:pStyle w:val="17"/>
        <w:numPr>
          <w:ilvl w:val="0"/>
          <w:numId w:val="0"/>
        </w:numPr>
        <w:shd w:val="clear"/>
        <w:rPr>
          <w:rFonts w:ascii="宋体" w:hAnsi="宋体" w:cs="宋体"/>
          <w:bCs/>
          <w:color w:val="auto"/>
          <w:sz w:val="24"/>
          <w:highlight w:val="none"/>
        </w:rPr>
      </w:pPr>
    </w:p>
    <w:p w14:paraId="2F74A917">
      <w:pPr>
        <w:pStyle w:val="17"/>
        <w:numPr>
          <w:ilvl w:val="0"/>
          <w:numId w:val="0"/>
        </w:numPr>
        <w:shd w:val="clear"/>
        <w:rPr>
          <w:rFonts w:ascii="宋体" w:hAnsi="宋体" w:cs="宋体"/>
          <w:bCs/>
          <w:color w:val="auto"/>
          <w:sz w:val="24"/>
          <w:highlight w:val="none"/>
        </w:rPr>
      </w:pPr>
    </w:p>
    <w:p w14:paraId="6E8667B6">
      <w:pPr>
        <w:shd w:val="clear"/>
        <w:spacing w:line="460" w:lineRule="exact"/>
        <w:rPr>
          <w:rFonts w:ascii="宋体" w:hAnsi="宋体" w:cs="宋体"/>
          <w:bCs/>
          <w:color w:val="auto"/>
          <w:sz w:val="24"/>
          <w:highlight w:val="none"/>
        </w:rPr>
      </w:pPr>
    </w:p>
    <w:p w14:paraId="009D4148">
      <w:pPr>
        <w:shd w:val="clear"/>
        <w:rPr>
          <w:rFonts w:ascii="宋体" w:hAnsi="宋体"/>
          <w:b/>
          <w:color w:val="auto"/>
          <w:szCs w:val="21"/>
          <w:highlight w:val="none"/>
        </w:rPr>
      </w:pPr>
      <w:r>
        <w:rPr>
          <w:rFonts w:hint="eastAsia" w:ascii="宋体" w:hAnsi="宋体"/>
          <w:b/>
          <w:color w:val="auto"/>
          <w:szCs w:val="21"/>
          <w:highlight w:val="none"/>
        </w:rPr>
        <w:br w:type="page"/>
      </w:r>
    </w:p>
    <w:p w14:paraId="1A981E83">
      <w:pPr>
        <w:shd w:val="clear"/>
        <w:spacing w:line="360" w:lineRule="auto"/>
        <w:jc w:val="center"/>
        <w:rPr>
          <w:rFonts w:ascii="宋体" w:hAnsi="宋体"/>
          <w:b/>
          <w:color w:val="auto"/>
          <w:szCs w:val="21"/>
          <w:highlight w:val="none"/>
        </w:rPr>
      </w:pPr>
      <w:r>
        <w:rPr>
          <w:rFonts w:hint="eastAsia" w:ascii="宋体" w:hAnsi="宋体"/>
          <w:b/>
          <w:color w:val="auto"/>
          <w:szCs w:val="21"/>
          <w:highlight w:val="none"/>
        </w:rPr>
        <w:t>供应商信用承诺书</w:t>
      </w:r>
    </w:p>
    <w:p w14:paraId="42742B77">
      <w:pPr>
        <w:shd w:val="clear"/>
        <w:spacing w:line="560" w:lineRule="exact"/>
        <w:rPr>
          <w:rFonts w:ascii="宋体" w:hAnsi="宋体" w:cs="宋体"/>
          <w:color w:val="auto"/>
          <w:szCs w:val="32"/>
          <w:highlight w:val="none"/>
        </w:rPr>
      </w:pPr>
      <w:r>
        <w:rPr>
          <w:rFonts w:hint="eastAsia" w:ascii="宋体" w:hAnsi="宋体" w:cs="宋体"/>
          <w:color w:val="auto"/>
          <w:szCs w:val="32"/>
          <w:highlight w:val="none"/>
        </w:rPr>
        <w:t>承诺主体名称：</w:t>
      </w:r>
    </w:p>
    <w:p w14:paraId="48D70F6D">
      <w:pPr>
        <w:shd w:val="clear"/>
        <w:spacing w:line="560" w:lineRule="exact"/>
        <w:rPr>
          <w:rFonts w:ascii="宋体" w:hAnsi="宋体" w:cs="宋体"/>
          <w:color w:val="auto"/>
          <w:szCs w:val="32"/>
          <w:highlight w:val="none"/>
        </w:rPr>
      </w:pPr>
      <w:r>
        <w:rPr>
          <w:rFonts w:hint="eastAsia" w:ascii="宋体" w:hAnsi="宋体" w:cs="宋体"/>
          <w:color w:val="auto"/>
          <w:szCs w:val="32"/>
          <w:highlight w:val="none"/>
        </w:rPr>
        <w:t>统一社会信用代码：</w:t>
      </w:r>
    </w:p>
    <w:p w14:paraId="1025983A">
      <w:pPr>
        <w:shd w:val="clear"/>
        <w:spacing w:line="560" w:lineRule="exact"/>
        <w:rPr>
          <w:rFonts w:ascii="宋体" w:hAnsi="宋体" w:cs="宋体"/>
          <w:color w:val="auto"/>
          <w:szCs w:val="32"/>
          <w:highlight w:val="none"/>
        </w:rPr>
      </w:pPr>
    </w:p>
    <w:p w14:paraId="3C79A899">
      <w:pPr>
        <w:shd w:val="clea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为维护公平竞争、规范有序的市场秩序，营造诚实守信的信用环境，共同推进社会信用体系建设完善，树立企业诚信守法形象，本企业对________________________项目采购活动郑重承诺如下:</w:t>
      </w:r>
    </w:p>
    <w:p w14:paraId="1AFC3077">
      <w:pPr>
        <w:shd w:val="clea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一、对提供给注册登记部门、行业管理部门、司法部门、行业组织以及在采购活动中提交的所有资料的合法性、真实性、准确性和有效性负责；</w:t>
      </w:r>
    </w:p>
    <w:p w14:paraId="44EEFD73">
      <w:pPr>
        <w:shd w:val="clear"/>
        <w:spacing w:line="360" w:lineRule="auto"/>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二、严格按照国家法律、法规和规章开展采购活动，全面履行应尽的责任和义务，全面做到履约守信，具备《中华人民共和国政府采购法》第二十二条第一款规定的条件</w:t>
      </w:r>
      <w:r>
        <w:rPr>
          <w:rFonts w:hint="eastAsia" w:ascii="宋体" w:hAnsi="宋体"/>
          <w:bCs/>
          <w:color w:val="auto"/>
          <w:szCs w:val="21"/>
          <w:highlight w:val="none"/>
          <w:lang w:eastAsia="zh-CN"/>
        </w:rPr>
        <w:t>；</w:t>
      </w:r>
    </w:p>
    <w:p w14:paraId="6A7D668C">
      <w:pPr>
        <w:shd w:val="clea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三、严格依法开展生产经营活动，主动接受行业监管，自愿接受依法开展的日常检查；违法失信经营后将自愿接受约束和惩戒，并依法承担相应责任；</w:t>
      </w:r>
    </w:p>
    <w:p w14:paraId="23C20154">
      <w:pPr>
        <w:shd w:val="clea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四、自觉接受行政管理部门、行业组织、社会公众、新闻舆论的监督；</w:t>
      </w:r>
    </w:p>
    <w:p w14:paraId="72522416">
      <w:pPr>
        <w:shd w:val="clea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五、自觉做到自我约束、自我管理，不制假售假、商标侵权、虚假宣传、违约毁约、恶意逃债、偷税漏税、垄断和不正当竞争，维护经营者、消费者的合法权益；</w:t>
      </w:r>
    </w:p>
    <w:p w14:paraId="40C6A744">
      <w:pPr>
        <w:shd w:val="clea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六、提出政府采购质疑和投诉坚持依法依规、诚实信用原则，在全国范围</w:t>
      </w:r>
      <w:r>
        <w:rPr>
          <w:rFonts w:hint="eastAsia"/>
          <w:bCs/>
          <w:color w:val="auto"/>
          <w:szCs w:val="21"/>
          <w:highlight w:val="none"/>
        </w:rPr>
        <w:t>12</w:t>
      </w:r>
      <w:r>
        <w:rPr>
          <w:rFonts w:hint="eastAsia" w:ascii="宋体" w:hAnsi="宋体"/>
          <w:bCs/>
          <w:color w:val="auto"/>
          <w:szCs w:val="21"/>
          <w:highlight w:val="none"/>
        </w:rPr>
        <w:t>个月内没有三次以上查无实据的政府采购投诉；</w:t>
      </w:r>
    </w:p>
    <w:p w14:paraId="3CF0A1BF">
      <w:pPr>
        <w:shd w:val="clea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七、严格遵守信用信息公示相关规定，向社会公示信用信息；</w:t>
      </w:r>
    </w:p>
    <w:p w14:paraId="4EBFCD13">
      <w:pPr>
        <w:shd w:val="clea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八、在“信用中国”和“中国政府采购网”网站中无违法违规、较重或严重失信记录；</w:t>
      </w:r>
    </w:p>
    <w:p w14:paraId="4DFBDDEE">
      <w:pPr>
        <w:shd w:val="clea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14:paraId="532114D3">
      <w:pPr>
        <w:shd w:val="clea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十、本承诺书自签订之日起生效。</w:t>
      </w:r>
    </w:p>
    <w:p w14:paraId="6444A505">
      <w:pPr>
        <w:shd w:val="clea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（注：法定代表人或负责人、主体名称发生变更的应当重新做出承诺。）</w:t>
      </w:r>
    </w:p>
    <w:p w14:paraId="65C47C33">
      <w:pPr>
        <w:shd w:val="clear"/>
        <w:spacing w:line="560" w:lineRule="exact"/>
        <w:jc w:val="center"/>
        <w:rPr>
          <w:rFonts w:ascii="宋体" w:hAnsi="宋体" w:cs="宋体"/>
          <w:color w:val="auto"/>
          <w:szCs w:val="32"/>
          <w:highlight w:val="none"/>
        </w:rPr>
      </w:pPr>
      <w:r>
        <w:rPr>
          <w:rFonts w:hint="eastAsia" w:ascii="宋体" w:hAnsi="宋体" w:cs="宋体"/>
          <w:color w:val="auto"/>
          <w:szCs w:val="32"/>
          <w:highlight w:val="none"/>
        </w:rPr>
        <w:t xml:space="preserve">　　　　　　　　　　        承诺单位（签章）：   </w:t>
      </w:r>
    </w:p>
    <w:p w14:paraId="408EA911">
      <w:pPr>
        <w:shd w:val="clear"/>
        <w:spacing w:line="560" w:lineRule="exact"/>
        <w:jc w:val="center"/>
        <w:rPr>
          <w:rFonts w:ascii="宋体" w:hAnsi="宋体" w:cs="宋体"/>
          <w:color w:val="auto"/>
          <w:szCs w:val="32"/>
          <w:highlight w:val="none"/>
        </w:rPr>
      </w:pPr>
      <w:r>
        <w:rPr>
          <w:rFonts w:hint="eastAsia" w:ascii="宋体" w:hAnsi="宋体" w:cs="宋体"/>
          <w:color w:val="auto"/>
          <w:szCs w:val="32"/>
          <w:highlight w:val="none"/>
        </w:rPr>
        <w:t>　　　　　　　　　   　  法定代表人（负责人）：</w:t>
      </w:r>
    </w:p>
    <w:p w14:paraId="25EEBED6">
      <w:pPr>
        <w:shd w:val="clear"/>
        <w:spacing w:line="560" w:lineRule="exact"/>
        <w:jc w:val="center"/>
        <w:rPr>
          <w:rFonts w:ascii="宋体" w:hAnsi="宋体" w:cs="宋体"/>
          <w:color w:val="auto"/>
          <w:szCs w:val="32"/>
          <w:highlight w:val="none"/>
        </w:rPr>
      </w:pPr>
      <w:r>
        <w:rPr>
          <w:rFonts w:hint="eastAsia" w:ascii="宋体" w:hAnsi="宋体" w:cs="宋体"/>
          <w:color w:val="auto"/>
          <w:szCs w:val="32"/>
          <w:highlight w:val="none"/>
        </w:rPr>
        <w:t>　　　　　　　　　      　年    月    日</w:t>
      </w:r>
    </w:p>
    <w:p w14:paraId="19C7B391">
      <w:pPr>
        <w:widowControl/>
        <w:shd w:val="clear"/>
        <w:jc w:val="left"/>
        <w:rPr>
          <w:b/>
          <w:bCs/>
          <w:color w:val="auto"/>
          <w:highlight w:val="none"/>
        </w:rPr>
      </w:pPr>
      <w:r>
        <w:rPr>
          <w:b/>
          <w:bCs/>
          <w:color w:val="auto"/>
          <w:highlight w:val="none"/>
        </w:rPr>
        <w:br w:type="page"/>
      </w:r>
    </w:p>
    <w:p w14:paraId="45F214BE">
      <w:pPr>
        <w:widowControl/>
        <w:shd w:val="clear"/>
        <w:jc w:val="left"/>
        <w:rPr>
          <w:rFonts w:ascii="宋体" w:hAnsi="宋体" w:cs="Arial"/>
          <w:b/>
          <w:bCs/>
          <w:color w:val="auto"/>
          <w:highlight w:val="none"/>
        </w:rPr>
      </w:pPr>
    </w:p>
    <w:p w14:paraId="29D7231D">
      <w:pPr>
        <w:shd w:val="clear"/>
        <w:spacing w:line="360" w:lineRule="auto"/>
        <w:jc w:val="center"/>
        <w:rPr>
          <w:rFonts w:ascii="宋体" w:hAnsi="宋体" w:cs="宋体"/>
          <w:bCs/>
          <w:color w:val="auto"/>
          <w:sz w:val="24"/>
          <w:highlight w:val="none"/>
        </w:rPr>
      </w:pPr>
      <w:r>
        <w:rPr>
          <w:rFonts w:hint="eastAsia" w:ascii="宋体" w:hAnsi="宋体" w:cs="宋体"/>
          <w:b/>
          <w:color w:val="auto"/>
          <w:szCs w:val="21"/>
          <w:highlight w:val="none"/>
        </w:rPr>
        <w:t>三、开标一览表</w:t>
      </w:r>
    </w:p>
    <w:p w14:paraId="1E3F4A88">
      <w:pPr>
        <w:shd w:val="clea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投标人全称（加盖公章）：</w:t>
      </w:r>
    </w:p>
    <w:p w14:paraId="73B03948">
      <w:pPr>
        <w:shd w:val="clear"/>
        <w:spacing w:line="360" w:lineRule="auto"/>
        <w:ind w:firstLine="48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p>
    <w:p w14:paraId="4AAD1A3D">
      <w:pPr>
        <w:shd w:val="clear"/>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项目编号：</w:t>
      </w:r>
    </w:p>
    <w:tbl>
      <w:tblPr>
        <w:tblStyle w:val="34"/>
        <w:tblW w:w="45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7289"/>
      </w:tblGrid>
      <w:tr w14:paraId="1FED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63" w:type="pct"/>
            <w:noWrap/>
            <w:vAlign w:val="center"/>
          </w:tcPr>
          <w:p w14:paraId="5A25FB74">
            <w:pPr>
              <w:shd w:val="clear"/>
              <w:spacing w:line="360" w:lineRule="auto"/>
              <w:jc w:val="center"/>
              <w:rPr>
                <w:color w:val="auto"/>
                <w:sz w:val="21"/>
                <w:szCs w:val="21"/>
                <w:highlight w:val="none"/>
              </w:rPr>
            </w:pPr>
            <w:r>
              <w:rPr>
                <w:rFonts w:hAnsi="宋体"/>
                <w:color w:val="auto"/>
                <w:sz w:val="21"/>
                <w:szCs w:val="21"/>
                <w:highlight w:val="none"/>
              </w:rPr>
              <w:t>服务名称</w:t>
            </w:r>
          </w:p>
        </w:tc>
        <w:tc>
          <w:tcPr>
            <w:tcW w:w="4136" w:type="pct"/>
            <w:noWrap/>
            <w:vAlign w:val="center"/>
          </w:tcPr>
          <w:p w14:paraId="5D8D6E2B">
            <w:pPr>
              <w:shd w:val="clear"/>
              <w:spacing w:line="360" w:lineRule="auto"/>
              <w:jc w:val="center"/>
              <w:rPr>
                <w:rFonts w:hint="eastAsia" w:eastAsia="宋体"/>
                <w:color w:val="auto"/>
                <w:sz w:val="21"/>
                <w:szCs w:val="21"/>
                <w:highlight w:val="none"/>
                <w:lang w:eastAsia="zh-CN"/>
              </w:rPr>
            </w:pPr>
            <w:r>
              <w:rPr>
                <w:rFonts w:hint="eastAsia" w:hAnsi="宋体"/>
                <w:color w:val="auto"/>
                <w:sz w:val="21"/>
                <w:szCs w:val="21"/>
                <w:highlight w:val="none"/>
              </w:rPr>
              <w:t>投标</w:t>
            </w:r>
            <w:r>
              <w:rPr>
                <w:rFonts w:hAnsi="宋体"/>
                <w:color w:val="auto"/>
                <w:sz w:val="21"/>
                <w:szCs w:val="21"/>
                <w:highlight w:val="none"/>
              </w:rPr>
              <w:t>报价</w:t>
            </w:r>
          </w:p>
        </w:tc>
      </w:tr>
      <w:tr w14:paraId="72A6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63" w:type="pct"/>
            <w:vMerge w:val="restart"/>
            <w:noWrap/>
            <w:vAlign w:val="center"/>
          </w:tcPr>
          <w:p w14:paraId="1B5FC4FC">
            <w:pPr>
              <w:shd w:val="clear"/>
              <w:spacing w:line="360" w:lineRule="auto"/>
              <w:jc w:val="center"/>
              <w:rPr>
                <w:color w:val="auto"/>
                <w:sz w:val="21"/>
                <w:szCs w:val="21"/>
                <w:highlight w:val="none"/>
              </w:rPr>
            </w:pPr>
            <w:r>
              <w:rPr>
                <w:rFonts w:hint="eastAsia" w:cs="宋体"/>
                <w:color w:val="auto"/>
                <w:sz w:val="21"/>
                <w:szCs w:val="21"/>
                <w:highlight w:val="none"/>
                <w:lang w:eastAsia="zh-CN"/>
              </w:rPr>
              <w:t>GZ627地块房地产开发项目营销代理服务</w:t>
            </w:r>
          </w:p>
        </w:tc>
        <w:tc>
          <w:tcPr>
            <w:tcW w:w="4136" w:type="pct"/>
            <w:noWrap/>
            <w:vAlign w:val="center"/>
          </w:tcPr>
          <w:p w14:paraId="51215CB8">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default"/>
                <w:color w:val="auto"/>
                <w:highlight w:val="none"/>
                <w:u w:val="single"/>
                <w:lang w:val="en-US" w:eastAsia="zh-CN"/>
              </w:rPr>
            </w:pPr>
            <w:r>
              <w:rPr>
                <w:rFonts w:hint="eastAsia"/>
                <w:color w:val="auto"/>
                <w:highlight w:val="none"/>
                <w:lang w:val="en-US" w:eastAsia="zh-CN"/>
              </w:rPr>
              <w:t>基本服务费：暂定【36】个月*</w:t>
            </w:r>
            <w:r>
              <w:rPr>
                <w:rFonts w:hint="eastAsia"/>
                <w:b/>
                <w:bCs/>
                <w:color w:val="auto"/>
                <w:highlight w:val="none"/>
                <w:u w:val="single"/>
                <w:lang w:val="en-US" w:eastAsia="zh-CN"/>
              </w:rPr>
              <w:t xml:space="preserve">     </w:t>
            </w:r>
            <w:r>
              <w:rPr>
                <w:rFonts w:hint="eastAsia"/>
                <w:b/>
                <w:bCs/>
                <w:color w:val="auto"/>
                <w:highlight w:val="none"/>
                <w:lang w:val="en-US" w:eastAsia="zh-CN"/>
              </w:rPr>
              <w:t>元/月</w:t>
            </w:r>
            <w:r>
              <w:rPr>
                <w:rFonts w:hint="eastAsia"/>
                <w:color w:val="auto"/>
                <w:highlight w:val="none"/>
                <w:lang w:val="en-US" w:eastAsia="zh-CN"/>
              </w:rPr>
              <w:t>，合计大写：</w:t>
            </w:r>
            <w:r>
              <w:rPr>
                <w:rFonts w:hint="eastAsia"/>
                <w:color w:val="auto"/>
                <w:highlight w:val="none"/>
                <w:u w:val="single"/>
                <w:lang w:val="en-US" w:eastAsia="zh-CN"/>
              </w:rPr>
              <w:t xml:space="preserve">人民币 </w:t>
            </w:r>
            <w:r>
              <w:rPr>
                <w:rFonts w:hint="eastAsia"/>
                <w:color w:val="auto"/>
                <w:highlight w:val="none"/>
                <w:lang w:val="en-US" w:eastAsia="zh-CN"/>
              </w:rPr>
              <w:t>小写：</w:t>
            </w:r>
            <w:r>
              <w:rPr>
                <w:rFonts w:hint="eastAsia"/>
                <w:color w:val="auto"/>
                <w:highlight w:val="none"/>
                <w:u w:val="single"/>
                <w:lang w:val="en-US" w:eastAsia="zh-CN"/>
              </w:rPr>
              <w:t xml:space="preserve">   </w:t>
            </w:r>
          </w:p>
        </w:tc>
      </w:tr>
      <w:tr w14:paraId="49C57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63" w:type="pct"/>
            <w:vMerge w:val="continue"/>
            <w:noWrap/>
            <w:vAlign w:val="center"/>
          </w:tcPr>
          <w:p w14:paraId="7E0CF83F">
            <w:pPr>
              <w:keepNext w:val="0"/>
              <w:keepLines w:val="0"/>
              <w:pageBreakBefore w:val="0"/>
              <w:widowControl w:val="0"/>
              <w:shd w:val="clear"/>
              <w:kinsoku/>
              <w:wordWrap/>
              <w:overflowPunct/>
              <w:topLinePunct w:val="0"/>
              <w:autoSpaceDE/>
              <w:autoSpaceDN/>
              <w:bidi w:val="0"/>
              <w:adjustRightInd/>
              <w:snapToGrid/>
              <w:spacing w:line="360" w:lineRule="auto"/>
              <w:textAlignment w:val="auto"/>
              <w:rPr>
                <w:color w:val="auto"/>
                <w:highlight w:val="none"/>
              </w:rPr>
            </w:pPr>
          </w:p>
        </w:tc>
        <w:tc>
          <w:tcPr>
            <w:tcW w:w="4136" w:type="pct"/>
            <w:noWrap/>
            <w:vAlign w:val="center"/>
          </w:tcPr>
          <w:p w14:paraId="3AD20198">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color w:val="auto"/>
                <w:highlight w:val="none"/>
                <w:lang w:val="en-US" w:eastAsia="zh-CN"/>
              </w:rPr>
            </w:pPr>
            <w:r>
              <w:rPr>
                <w:rFonts w:hint="eastAsia"/>
                <w:color w:val="auto"/>
                <w:highlight w:val="none"/>
              </w:rPr>
              <w:t>销售佣金</w:t>
            </w:r>
            <w:r>
              <w:rPr>
                <w:rFonts w:hint="eastAsia"/>
                <w:color w:val="auto"/>
                <w:highlight w:val="none"/>
                <w:lang w:eastAsia="zh-CN"/>
              </w:rPr>
              <w:t>：</w:t>
            </w:r>
            <w:r>
              <w:rPr>
                <w:rFonts w:hint="eastAsia"/>
                <w:color w:val="auto"/>
                <w:highlight w:val="none"/>
                <w:lang w:val="en-US" w:eastAsia="zh-CN"/>
              </w:rPr>
              <w:t>暂定【12】亿元*</w:t>
            </w:r>
            <w:r>
              <w:rPr>
                <w:rFonts w:hint="eastAsia"/>
                <w:b/>
                <w:bCs/>
                <w:color w:val="auto"/>
                <w:highlight w:val="none"/>
                <w:u w:val="single"/>
                <w:lang w:val="en-US" w:eastAsia="zh-CN"/>
              </w:rPr>
              <w:t xml:space="preserve">    </w:t>
            </w:r>
            <w:r>
              <w:rPr>
                <w:rFonts w:hint="eastAsia"/>
                <w:b/>
                <w:bCs/>
                <w:color w:val="auto"/>
                <w:highlight w:val="none"/>
                <w:lang w:val="en-US" w:eastAsia="zh-CN"/>
              </w:rPr>
              <w:t>%</w:t>
            </w:r>
            <w:r>
              <w:rPr>
                <w:rFonts w:hint="eastAsia"/>
                <w:color w:val="auto"/>
                <w:highlight w:val="none"/>
                <w:lang w:val="en-US" w:eastAsia="zh-CN"/>
              </w:rPr>
              <w:t>，合计大写：</w:t>
            </w:r>
            <w:r>
              <w:rPr>
                <w:rFonts w:hint="eastAsia"/>
                <w:color w:val="auto"/>
                <w:highlight w:val="none"/>
                <w:u w:val="single"/>
                <w:lang w:val="en-US" w:eastAsia="zh-CN"/>
              </w:rPr>
              <w:t xml:space="preserve">人民币 </w:t>
            </w:r>
            <w:r>
              <w:rPr>
                <w:rFonts w:hint="eastAsia"/>
                <w:color w:val="auto"/>
                <w:highlight w:val="none"/>
                <w:lang w:val="en-US" w:eastAsia="zh-CN"/>
              </w:rPr>
              <w:t>小写：</w:t>
            </w:r>
            <w:r>
              <w:rPr>
                <w:rFonts w:hint="eastAsia"/>
                <w:color w:val="auto"/>
                <w:highlight w:val="none"/>
                <w:u w:val="single"/>
                <w:lang w:val="en-US" w:eastAsia="zh-CN"/>
              </w:rPr>
              <w:t xml:space="preserve">   </w:t>
            </w:r>
          </w:p>
        </w:tc>
      </w:tr>
      <w:tr w14:paraId="573C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63" w:type="pct"/>
            <w:vMerge w:val="continue"/>
            <w:noWrap/>
            <w:vAlign w:val="center"/>
          </w:tcPr>
          <w:p w14:paraId="1460E022">
            <w:pPr>
              <w:shd w:val="clear"/>
              <w:spacing w:line="360" w:lineRule="auto"/>
              <w:jc w:val="center"/>
              <w:rPr>
                <w:rFonts w:hint="eastAsia" w:cs="宋体"/>
                <w:color w:val="auto"/>
                <w:sz w:val="21"/>
                <w:szCs w:val="21"/>
                <w:highlight w:val="none"/>
                <w:lang w:val="en-US" w:eastAsia="zh-CN"/>
              </w:rPr>
            </w:pPr>
          </w:p>
        </w:tc>
        <w:tc>
          <w:tcPr>
            <w:tcW w:w="4136" w:type="pct"/>
            <w:noWrap/>
            <w:vAlign w:val="center"/>
          </w:tcPr>
          <w:p w14:paraId="2C8EAA37">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default"/>
                <w:color w:val="auto"/>
                <w:sz w:val="21"/>
                <w:szCs w:val="21"/>
                <w:highlight w:val="none"/>
                <w:lang w:val="en-US" w:eastAsia="zh-CN"/>
              </w:rPr>
            </w:pPr>
            <w:r>
              <w:rPr>
                <w:rFonts w:hint="eastAsia"/>
                <w:color w:val="auto"/>
                <w:sz w:val="21"/>
                <w:szCs w:val="21"/>
                <w:highlight w:val="none"/>
                <w:lang w:val="en-US" w:eastAsia="zh-CN"/>
              </w:rPr>
              <w:t>营销代理服务费总计：</w:t>
            </w:r>
            <w:r>
              <w:rPr>
                <w:rFonts w:hint="eastAsia"/>
                <w:b/>
                <w:bCs/>
                <w:color w:val="auto"/>
                <w:highlight w:val="none"/>
                <w:lang w:val="en-US" w:eastAsia="zh-CN"/>
              </w:rPr>
              <w:t>大写：</w:t>
            </w:r>
            <w:r>
              <w:rPr>
                <w:rFonts w:hint="eastAsia"/>
                <w:b/>
                <w:bCs/>
                <w:color w:val="auto"/>
                <w:highlight w:val="none"/>
                <w:u w:val="single"/>
                <w:lang w:val="en-US" w:eastAsia="zh-CN"/>
              </w:rPr>
              <w:t xml:space="preserve">人民币 </w:t>
            </w:r>
            <w:r>
              <w:rPr>
                <w:rFonts w:hint="eastAsia"/>
                <w:b/>
                <w:bCs/>
                <w:color w:val="auto"/>
                <w:highlight w:val="none"/>
                <w:lang w:val="en-US" w:eastAsia="zh-CN"/>
              </w:rPr>
              <w:t>小写：</w:t>
            </w:r>
            <w:r>
              <w:rPr>
                <w:rFonts w:hint="eastAsia"/>
                <w:b/>
                <w:bCs/>
                <w:color w:val="auto"/>
                <w:highlight w:val="none"/>
                <w:u w:val="single"/>
                <w:lang w:val="en-US" w:eastAsia="zh-CN"/>
              </w:rPr>
              <w:t xml:space="preserve">   </w:t>
            </w:r>
          </w:p>
        </w:tc>
      </w:tr>
      <w:tr w14:paraId="2D43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863" w:type="pct"/>
            <w:noWrap/>
            <w:vAlign w:val="center"/>
          </w:tcPr>
          <w:p w14:paraId="5D04BAF6">
            <w:pPr>
              <w:shd w:val="clear"/>
              <w:spacing w:line="360" w:lineRule="auto"/>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备注</w:t>
            </w:r>
          </w:p>
        </w:tc>
        <w:tc>
          <w:tcPr>
            <w:tcW w:w="4136" w:type="pct"/>
            <w:noWrap/>
            <w:vAlign w:val="center"/>
          </w:tcPr>
          <w:p w14:paraId="233F85F8">
            <w:pPr>
              <w:shd w:val="clear"/>
              <w:spacing w:line="360" w:lineRule="auto"/>
              <w:jc w:val="both"/>
              <w:rPr>
                <w:rFonts w:hint="default"/>
                <w:color w:val="auto"/>
                <w:sz w:val="21"/>
                <w:szCs w:val="21"/>
                <w:highlight w:val="none"/>
                <w:lang w:val="en-US" w:eastAsia="zh-CN"/>
              </w:rPr>
            </w:pPr>
            <w:r>
              <w:rPr>
                <w:rFonts w:hint="eastAsia"/>
                <w:color w:val="auto"/>
                <w:sz w:val="21"/>
                <w:szCs w:val="21"/>
                <w:highlight w:val="none"/>
                <w:lang w:val="en-US" w:eastAsia="zh-CN"/>
              </w:rPr>
              <w:t>包含税率</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w:t>
            </w:r>
          </w:p>
        </w:tc>
      </w:tr>
    </w:tbl>
    <w:p w14:paraId="34C287AA">
      <w:pPr>
        <w:shd w:val="clear"/>
        <w:rPr>
          <w:rFonts w:ascii="宋体" w:hAnsi="宋体" w:cs="宋体"/>
          <w:color w:val="auto"/>
          <w:szCs w:val="21"/>
          <w:highlight w:val="none"/>
        </w:rPr>
      </w:pPr>
    </w:p>
    <w:p w14:paraId="2DAE8F42">
      <w:pPr>
        <w:shd w:val="clear" w:color="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r>
        <w:rPr>
          <w:rFonts w:hint="eastAsia" w:ascii="宋体" w:hAnsi="宋体"/>
          <w:color w:val="auto"/>
          <w:highlight w:val="none"/>
          <w:lang w:eastAsia="zh-CN"/>
        </w:rPr>
        <w:t>（</w:t>
      </w:r>
      <w:r>
        <w:rPr>
          <w:rFonts w:hint="eastAsia" w:ascii="宋体" w:hAnsi="宋体"/>
          <w:color w:val="auto"/>
          <w:highlight w:val="none"/>
        </w:rPr>
        <w:t>签字或盖章</w:t>
      </w:r>
      <w:r>
        <w:rPr>
          <w:rFonts w:hint="eastAsia" w:ascii="宋体" w:hAnsi="宋体"/>
          <w:color w:val="auto"/>
          <w:highlight w:val="none"/>
          <w:lang w:eastAsia="zh-CN"/>
        </w:rPr>
        <w:t>）</w:t>
      </w:r>
      <w:r>
        <w:rPr>
          <w:rFonts w:hint="eastAsia" w:ascii="宋体" w:hAnsi="宋体" w:eastAsia="宋体" w:cs="宋体"/>
          <w:color w:val="auto"/>
          <w:szCs w:val="21"/>
          <w:highlight w:val="none"/>
        </w:rPr>
        <w:t>：</w:t>
      </w:r>
    </w:p>
    <w:p w14:paraId="6878A4FF">
      <w:pPr>
        <w:shd w:val="clear" w:color="auto"/>
        <w:spacing w:line="360" w:lineRule="auto"/>
        <w:jc w:val="right"/>
        <w:rPr>
          <w:rFonts w:hint="eastAsia" w:ascii="宋体" w:hAnsi="宋体" w:eastAsia="微软雅黑"/>
          <w:color w:val="auto"/>
          <w:szCs w:val="21"/>
          <w:highlight w:val="none"/>
          <w:u w:val="none"/>
        </w:rPr>
      </w:pPr>
      <w:r>
        <w:rPr>
          <w:rFonts w:hint="eastAsia" w:ascii="宋体" w:hAnsi="宋体"/>
          <w:color w:val="auto"/>
          <w:szCs w:val="21"/>
          <w:highlight w:val="none"/>
          <w:u w:val="none"/>
        </w:rPr>
        <w:t>日期：     年   月   日</w:t>
      </w:r>
    </w:p>
    <w:p w14:paraId="6C0DF925">
      <w:pPr>
        <w:shd w:val="clear"/>
        <w:spacing w:line="360" w:lineRule="auto"/>
        <w:jc w:val="center"/>
        <w:rPr>
          <w:rFonts w:ascii="宋体" w:hAnsi="宋体" w:cs="宋体"/>
          <w:b/>
          <w:color w:val="auto"/>
          <w:szCs w:val="21"/>
          <w:highlight w:val="none"/>
        </w:rPr>
      </w:pPr>
    </w:p>
    <w:p w14:paraId="5614A763">
      <w:pPr>
        <w:shd w:val="clear"/>
        <w:spacing w:line="360" w:lineRule="auto"/>
        <w:ind w:firstLine="480"/>
        <w:rPr>
          <w:rFonts w:ascii="宋体" w:hAnsi="宋体" w:cs="宋体"/>
          <w:i/>
          <w:color w:val="auto"/>
          <w:szCs w:val="21"/>
          <w:highlight w:val="none"/>
          <w:u w:val="single"/>
        </w:rPr>
      </w:pPr>
      <w:r>
        <w:rPr>
          <w:rFonts w:hint="eastAsia" w:ascii="宋体" w:hAnsi="宋体" w:cs="宋体"/>
          <w:color w:val="auto"/>
          <w:szCs w:val="21"/>
          <w:highlight w:val="none"/>
        </w:rPr>
        <w:t>填写说明：</w:t>
      </w:r>
    </w:p>
    <w:p w14:paraId="2D03DF39">
      <w:pPr>
        <w:shd w:val="clear"/>
        <w:spacing w:line="360" w:lineRule="auto"/>
        <w:ind w:firstLine="420" w:firstLineChars="200"/>
        <w:rPr>
          <w:rFonts w:ascii="宋体" w:hAnsi="宋体" w:cs="宋体"/>
          <w:i/>
          <w:color w:val="auto"/>
          <w:szCs w:val="21"/>
          <w:highlight w:val="none"/>
        </w:rPr>
      </w:pPr>
      <w:r>
        <w:rPr>
          <w:rFonts w:hint="eastAsia" w:cs="宋体"/>
          <w:i/>
          <w:color w:val="auto"/>
          <w:szCs w:val="21"/>
          <w:highlight w:val="none"/>
        </w:rPr>
        <w:t>1</w:t>
      </w:r>
      <w:r>
        <w:rPr>
          <w:rFonts w:hint="eastAsia" w:ascii="宋体" w:hAnsi="宋体" w:cs="宋体"/>
          <w:i/>
          <w:color w:val="auto"/>
          <w:szCs w:val="21"/>
          <w:highlight w:val="none"/>
        </w:rPr>
        <w:t>、</w:t>
      </w:r>
      <w:r>
        <w:rPr>
          <w:rFonts w:hint="eastAsia" w:ascii="宋体" w:hAnsi="宋体" w:cs="宋体"/>
          <w:bCs/>
          <w:i/>
          <w:color w:val="auto"/>
          <w:szCs w:val="21"/>
          <w:highlight w:val="none"/>
          <w:u w:val="single"/>
        </w:rPr>
        <w:t>开标一览表必须加盖投标人公章（复印件无效）</w:t>
      </w:r>
      <w:r>
        <w:rPr>
          <w:rFonts w:hint="eastAsia" w:ascii="宋体" w:hAnsi="宋体" w:cs="宋体"/>
          <w:i/>
          <w:color w:val="auto"/>
          <w:szCs w:val="21"/>
          <w:highlight w:val="none"/>
        </w:rPr>
        <w:t>。</w:t>
      </w:r>
    </w:p>
    <w:p w14:paraId="76647BB5">
      <w:pPr>
        <w:pStyle w:val="17"/>
        <w:numPr>
          <w:ilvl w:val="0"/>
          <w:numId w:val="0"/>
        </w:numPr>
        <w:shd w:val="clear"/>
        <w:ind w:left="420"/>
        <w:rPr>
          <w:color w:val="auto"/>
          <w:highlight w:val="none"/>
        </w:rPr>
      </w:pPr>
    </w:p>
    <w:p w14:paraId="59C7353F">
      <w:pPr>
        <w:shd w:val="clear"/>
        <w:rPr>
          <w:rFonts w:ascii="宋体" w:hAnsi="宋体" w:cs="宋体"/>
          <w:b/>
          <w:color w:val="auto"/>
          <w:szCs w:val="21"/>
          <w:highlight w:val="none"/>
        </w:rPr>
      </w:pPr>
      <w:r>
        <w:rPr>
          <w:rFonts w:hint="eastAsia" w:ascii="宋体" w:hAnsi="宋体" w:cs="宋体"/>
          <w:b/>
          <w:color w:val="auto"/>
          <w:szCs w:val="21"/>
          <w:highlight w:val="none"/>
        </w:rPr>
        <w:br w:type="page"/>
      </w:r>
    </w:p>
    <w:p w14:paraId="076A4116">
      <w:pPr>
        <w:shd w:val="clear"/>
        <w:spacing w:afterLines="100" w:line="360" w:lineRule="auto"/>
        <w:jc w:val="center"/>
        <w:rPr>
          <w:rFonts w:ascii="宋体" w:hAnsi="宋体" w:cs="宋体"/>
          <w:color w:val="auto"/>
          <w:szCs w:val="21"/>
          <w:highlight w:val="none"/>
        </w:rPr>
      </w:pPr>
      <w:r>
        <w:rPr>
          <w:rFonts w:hint="eastAsia" w:ascii="宋体" w:hAnsi="宋体" w:cs="宋体"/>
          <w:b/>
          <w:color w:val="auto"/>
          <w:szCs w:val="21"/>
          <w:highlight w:val="none"/>
        </w:rPr>
        <w:t>四、分项报价表</w:t>
      </w:r>
    </w:p>
    <w:p w14:paraId="58FF5CE5">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投标人全称（加盖公章）：</w:t>
      </w:r>
    </w:p>
    <w:p w14:paraId="6DFE8F4F">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74D12AEB">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color w:val="auto"/>
          <w:highlight w:val="none"/>
        </w:rPr>
      </w:pPr>
      <w:r>
        <w:rPr>
          <w:rFonts w:hint="eastAsia" w:ascii="宋体" w:hAnsi="宋体" w:eastAsia="宋体" w:cs="宋体"/>
          <w:color w:val="auto"/>
          <w:szCs w:val="21"/>
          <w:highlight w:val="none"/>
        </w:rPr>
        <w:t>项目编号：</w:t>
      </w:r>
    </w:p>
    <w:tbl>
      <w:tblPr>
        <w:tblStyle w:val="34"/>
        <w:tblW w:w="5000" w:type="pct"/>
        <w:tblInd w:w="0" w:type="dxa"/>
        <w:tblLayout w:type="fixed"/>
        <w:tblCellMar>
          <w:top w:w="0" w:type="dxa"/>
          <w:left w:w="0" w:type="dxa"/>
          <w:bottom w:w="0" w:type="dxa"/>
          <w:right w:w="0" w:type="dxa"/>
        </w:tblCellMar>
      </w:tblPr>
      <w:tblGrid>
        <w:gridCol w:w="836"/>
        <w:gridCol w:w="2479"/>
        <w:gridCol w:w="1155"/>
        <w:gridCol w:w="2103"/>
        <w:gridCol w:w="1303"/>
        <w:gridCol w:w="1668"/>
      </w:tblGrid>
      <w:tr w14:paraId="22CD317F">
        <w:tblPrEx>
          <w:tblCellMar>
            <w:top w:w="0" w:type="dxa"/>
            <w:left w:w="0" w:type="dxa"/>
            <w:bottom w:w="0" w:type="dxa"/>
            <w:right w:w="0" w:type="dxa"/>
          </w:tblCellMar>
        </w:tblPrEx>
        <w:trPr>
          <w:trHeight w:val="804" w:hRule="atLeast"/>
        </w:trPr>
        <w:tc>
          <w:tcPr>
            <w:tcW w:w="500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72896C">
            <w:pPr>
              <w:shd w:val="clear"/>
              <w:spacing w:line="360" w:lineRule="auto"/>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cs="宋体"/>
                <w:b/>
                <w:bCs/>
                <w:color w:val="auto"/>
                <w:kern w:val="0"/>
                <w:sz w:val="21"/>
                <w:szCs w:val="21"/>
                <w:highlight w:val="none"/>
                <w:lang w:val="en-US" w:eastAsia="zh-CN" w:bidi="ar-SA"/>
              </w:rPr>
              <w:t>月基本服务费用明细</w:t>
            </w:r>
            <w:r>
              <w:rPr>
                <w:rFonts w:hint="eastAsia" w:ascii="宋体" w:hAnsi="宋体" w:eastAsia="宋体" w:cs="宋体"/>
                <w:b/>
                <w:bCs/>
                <w:color w:val="auto"/>
                <w:kern w:val="0"/>
                <w:sz w:val="21"/>
                <w:szCs w:val="21"/>
                <w:highlight w:val="none"/>
                <w:lang w:val="en-US" w:eastAsia="zh-CN" w:bidi="ar-SA"/>
              </w:rPr>
              <w:t>表</w:t>
            </w:r>
          </w:p>
        </w:tc>
      </w:tr>
      <w:tr w14:paraId="02CBE65E">
        <w:tblPrEx>
          <w:tblCellMar>
            <w:top w:w="0" w:type="dxa"/>
            <w:left w:w="0" w:type="dxa"/>
            <w:bottom w:w="0" w:type="dxa"/>
            <w:right w:w="0" w:type="dxa"/>
          </w:tblCellMar>
        </w:tblPrEx>
        <w:trPr>
          <w:trHeight w:val="936" w:hRule="atLeast"/>
        </w:trPr>
        <w:tc>
          <w:tcPr>
            <w:tcW w:w="437" w:type="pct"/>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14:paraId="27E4F418">
            <w:pPr>
              <w:shd w:val="clea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序号</w:t>
            </w:r>
          </w:p>
        </w:tc>
        <w:tc>
          <w:tcPr>
            <w:tcW w:w="1298" w:type="pc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D9A9443">
            <w:pPr>
              <w:shd w:val="clear"/>
              <w:spacing w:line="24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60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21B5C60">
            <w:pPr>
              <w:shd w:val="clear"/>
              <w:spacing w:line="24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人数</w:t>
            </w:r>
          </w:p>
        </w:tc>
        <w:tc>
          <w:tcPr>
            <w:tcW w:w="1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582EA1">
            <w:pPr>
              <w:shd w:val="clea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固定全费用综合单价（元）</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B4002">
            <w:pPr>
              <w:shd w:val="clea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小计</w:t>
            </w:r>
          </w:p>
          <w:p w14:paraId="54CFE83D">
            <w:pPr>
              <w:shd w:val="clear"/>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（元）</w:t>
            </w: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D14A">
            <w:pPr>
              <w:shd w:val="clear"/>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568DC5DB">
        <w:tblPrEx>
          <w:tblCellMar>
            <w:top w:w="0" w:type="dxa"/>
            <w:left w:w="0" w:type="dxa"/>
            <w:bottom w:w="0" w:type="dxa"/>
            <w:right w:w="0" w:type="dxa"/>
          </w:tblCellMar>
        </w:tblPrEx>
        <w:trPr>
          <w:trHeight w:val="936" w:hRule="atLeast"/>
        </w:trPr>
        <w:tc>
          <w:tcPr>
            <w:tcW w:w="43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6E193A">
            <w:pPr>
              <w:shd w:val="clea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F98F3A">
            <w:pPr>
              <w:shd w:val="clear"/>
              <w:spacing w:line="360" w:lineRule="auto"/>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经理</w:t>
            </w:r>
          </w:p>
        </w:tc>
        <w:tc>
          <w:tcPr>
            <w:tcW w:w="60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5E6C88C">
            <w:pPr>
              <w:shd w:val="clea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E3D969">
            <w:pPr>
              <w:shd w:val="clear"/>
              <w:spacing w:line="360" w:lineRule="auto"/>
              <w:jc w:val="center"/>
              <w:rPr>
                <w:rFonts w:hint="default" w:ascii="宋体" w:hAnsi="宋体" w:eastAsia="宋体" w:cs="宋体"/>
                <w:color w:val="auto"/>
                <w:sz w:val="21"/>
                <w:szCs w:val="21"/>
                <w:highlight w:val="none"/>
                <w:lang w:val="en-US" w:eastAsia="zh-CN"/>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69FD">
            <w:pPr>
              <w:shd w:val="clear"/>
              <w:spacing w:line="360" w:lineRule="auto"/>
              <w:jc w:val="center"/>
              <w:rPr>
                <w:rFonts w:hint="eastAsia" w:ascii="宋体" w:hAnsi="宋体" w:eastAsia="宋体" w:cs="宋体"/>
                <w:color w:val="auto"/>
                <w:kern w:val="2"/>
                <w:sz w:val="21"/>
                <w:szCs w:val="21"/>
                <w:highlight w:val="none"/>
                <w:lang w:val="en-US" w:eastAsia="zh-CN" w:bidi="ar-SA"/>
              </w:rPr>
            </w:pPr>
          </w:p>
        </w:tc>
        <w:tc>
          <w:tcPr>
            <w:tcW w:w="87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7562">
            <w:pPr>
              <w:shd w:val="clea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w:t>
            </w:r>
          </w:p>
        </w:tc>
      </w:tr>
      <w:tr w14:paraId="295F9022">
        <w:tblPrEx>
          <w:tblCellMar>
            <w:top w:w="0" w:type="dxa"/>
            <w:left w:w="0" w:type="dxa"/>
            <w:bottom w:w="0" w:type="dxa"/>
            <w:right w:w="0" w:type="dxa"/>
          </w:tblCellMar>
        </w:tblPrEx>
        <w:trPr>
          <w:trHeight w:val="936" w:hRule="atLeast"/>
        </w:trPr>
        <w:tc>
          <w:tcPr>
            <w:tcW w:w="43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953AF1">
            <w:pPr>
              <w:shd w:val="clea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4D83B2">
            <w:pPr>
              <w:shd w:val="clea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销售经理</w:t>
            </w:r>
          </w:p>
        </w:tc>
        <w:tc>
          <w:tcPr>
            <w:tcW w:w="60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408B0E4">
            <w:pPr>
              <w:shd w:val="clea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8BF740">
            <w:pPr>
              <w:shd w:val="clear"/>
              <w:spacing w:line="360" w:lineRule="auto"/>
              <w:rPr>
                <w:rFonts w:ascii="宋体" w:hAnsi="宋体" w:eastAsia="宋体" w:cs="宋体"/>
                <w:color w:val="auto"/>
                <w:sz w:val="21"/>
                <w:szCs w:val="21"/>
                <w:highlight w:val="none"/>
              </w:rPr>
            </w:pP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F16BB7">
            <w:pPr>
              <w:shd w:val="clear"/>
              <w:spacing w:line="360" w:lineRule="auto"/>
              <w:rPr>
                <w:rFonts w:ascii="宋体" w:hAnsi="宋体" w:eastAsia="宋体" w:cs="宋体"/>
                <w:color w:val="auto"/>
                <w:sz w:val="21"/>
                <w:szCs w:val="21"/>
                <w:highlight w:val="none"/>
              </w:rPr>
            </w:pPr>
          </w:p>
        </w:tc>
        <w:tc>
          <w:tcPr>
            <w:tcW w:w="8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128A55">
            <w:pPr>
              <w:shd w:val="clear"/>
              <w:spacing w:line="360" w:lineRule="auto"/>
              <w:rPr>
                <w:rFonts w:ascii="宋体" w:hAnsi="宋体" w:eastAsia="宋体" w:cs="宋体"/>
                <w:color w:val="auto"/>
                <w:sz w:val="21"/>
                <w:szCs w:val="21"/>
                <w:highlight w:val="none"/>
              </w:rPr>
            </w:pPr>
          </w:p>
        </w:tc>
      </w:tr>
      <w:tr w14:paraId="071718B4">
        <w:tblPrEx>
          <w:tblCellMar>
            <w:top w:w="0" w:type="dxa"/>
            <w:left w:w="0" w:type="dxa"/>
            <w:bottom w:w="0" w:type="dxa"/>
            <w:right w:w="0" w:type="dxa"/>
          </w:tblCellMar>
        </w:tblPrEx>
        <w:trPr>
          <w:trHeight w:val="936" w:hRule="atLeast"/>
        </w:trPr>
        <w:tc>
          <w:tcPr>
            <w:tcW w:w="437"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8F8A5E">
            <w:pPr>
              <w:shd w:val="clea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2A5221">
            <w:pPr>
              <w:widowControl/>
              <w:shd w:val="clear"/>
              <w:spacing w:line="360" w:lineRule="auto"/>
              <w:jc w:val="center"/>
              <w:textAlignment w:val="bottom"/>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销售人员</w:t>
            </w:r>
          </w:p>
        </w:tc>
        <w:tc>
          <w:tcPr>
            <w:tcW w:w="60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19986FC9">
            <w:pPr>
              <w:widowControl/>
              <w:shd w:val="clear"/>
              <w:spacing w:line="360" w:lineRule="auto"/>
              <w:jc w:val="center"/>
              <w:textAlignment w:val="bottom"/>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1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424944">
            <w:pPr>
              <w:shd w:val="clear"/>
              <w:spacing w:line="360" w:lineRule="auto"/>
              <w:jc w:val="center"/>
              <w:rPr>
                <w:rFonts w:ascii="宋体" w:hAnsi="宋体" w:eastAsia="宋体" w:cs="宋体"/>
                <w:color w:val="auto"/>
                <w:sz w:val="21"/>
                <w:szCs w:val="21"/>
                <w:highlight w:val="none"/>
              </w:rPr>
            </w:pP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2DA627">
            <w:pPr>
              <w:shd w:val="clear"/>
              <w:spacing w:line="360" w:lineRule="auto"/>
              <w:jc w:val="center"/>
              <w:rPr>
                <w:rFonts w:ascii="宋体" w:hAnsi="宋体" w:eastAsia="宋体" w:cs="宋体"/>
                <w:color w:val="auto"/>
                <w:sz w:val="21"/>
                <w:szCs w:val="21"/>
                <w:highlight w:val="none"/>
              </w:rPr>
            </w:pPr>
          </w:p>
        </w:tc>
        <w:tc>
          <w:tcPr>
            <w:tcW w:w="8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24A39B">
            <w:pPr>
              <w:shd w:val="clear"/>
              <w:spacing w:line="360" w:lineRule="auto"/>
              <w:jc w:val="center"/>
              <w:rPr>
                <w:rFonts w:ascii="宋体" w:hAnsi="宋体" w:eastAsia="宋体" w:cs="宋体"/>
                <w:color w:val="auto"/>
                <w:sz w:val="21"/>
                <w:szCs w:val="21"/>
                <w:highlight w:val="none"/>
              </w:rPr>
            </w:pPr>
          </w:p>
        </w:tc>
      </w:tr>
      <w:tr w14:paraId="42AE5F66">
        <w:tblPrEx>
          <w:tblCellMar>
            <w:top w:w="0" w:type="dxa"/>
            <w:left w:w="0" w:type="dxa"/>
            <w:bottom w:w="0" w:type="dxa"/>
            <w:right w:w="0" w:type="dxa"/>
          </w:tblCellMar>
        </w:tblPrEx>
        <w:trPr>
          <w:trHeight w:val="936" w:hRule="atLeast"/>
        </w:trPr>
        <w:tc>
          <w:tcPr>
            <w:tcW w:w="437" w:type="pct"/>
            <w:tcBorders>
              <w:top w:val="single" w:color="auto" w:sz="4" w:space="0"/>
              <w:left w:val="single" w:color="000000" w:sz="4" w:space="0"/>
              <w:right w:val="single" w:color="auto" w:sz="4" w:space="0"/>
            </w:tcBorders>
            <w:noWrap w:val="0"/>
            <w:tcMar>
              <w:top w:w="15" w:type="dxa"/>
              <w:left w:w="15" w:type="dxa"/>
              <w:right w:w="15" w:type="dxa"/>
            </w:tcMar>
            <w:vAlign w:val="center"/>
          </w:tcPr>
          <w:p w14:paraId="1D0C62C0">
            <w:pPr>
              <w:shd w:val="clea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29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310E4C">
            <w:pPr>
              <w:shd w:val="clea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销控主管</w:t>
            </w:r>
          </w:p>
        </w:tc>
        <w:tc>
          <w:tcPr>
            <w:tcW w:w="605" w:type="pct"/>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40996D47">
            <w:pPr>
              <w:shd w:val="clea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E2D112">
            <w:pPr>
              <w:shd w:val="clear"/>
              <w:spacing w:line="360" w:lineRule="auto"/>
              <w:jc w:val="center"/>
              <w:rPr>
                <w:rFonts w:ascii="宋体" w:hAnsi="宋体" w:eastAsia="宋体" w:cs="宋体"/>
                <w:color w:val="auto"/>
                <w:sz w:val="21"/>
                <w:szCs w:val="21"/>
                <w:highlight w:val="none"/>
              </w:rPr>
            </w:pP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C1C5228">
            <w:pPr>
              <w:shd w:val="clear"/>
              <w:spacing w:line="360" w:lineRule="auto"/>
              <w:jc w:val="center"/>
              <w:rPr>
                <w:rFonts w:ascii="宋体" w:hAnsi="宋体" w:eastAsia="宋体" w:cs="宋体"/>
                <w:color w:val="auto"/>
                <w:sz w:val="21"/>
                <w:szCs w:val="21"/>
                <w:highlight w:val="none"/>
              </w:rPr>
            </w:pPr>
          </w:p>
        </w:tc>
        <w:tc>
          <w:tcPr>
            <w:tcW w:w="8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6613B6">
            <w:pPr>
              <w:shd w:val="clear"/>
              <w:spacing w:line="360" w:lineRule="auto"/>
              <w:jc w:val="center"/>
              <w:rPr>
                <w:rFonts w:ascii="宋体" w:hAnsi="宋体" w:eastAsia="宋体" w:cs="宋体"/>
                <w:color w:val="auto"/>
                <w:sz w:val="21"/>
                <w:szCs w:val="21"/>
                <w:highlight w:val="none"/>
              </w:rPr>
            </w:pPr>
          </w:p>
        </w:tc>
      </w:tr>
      <w:tr w14:paraId="4679E559">
        <w:tblPrEx>
          <w:tblCellMar>
            <w:top w:w="0" w:type="dxa"/>
            <w:left w:w="0" w:type="dxa"/>
            <w:bottom w:w="0" w:type="dxa"/>
            <w:right w:w="0" w:type="dxa"/>
          </w:tblCellMar>
        </w:tblPrEx>
        <w:trPr>
          <w:trHeight w:val="936" w:hRule="atLeast"/>
        </w:trPr>
        <w:tc>
          <w:tcPr>
            <w:tcW w:w="4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53E260">
            <w:pPr>
              <w:shd w:val="clea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5</w:t>
            </w:r>
          </w:p>
        </w:tc>
        <w:tc>
          <w:tcPr>
            <w:tcW w:w="1298" w:type="pc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14:paraId="17AFA218">
            <w:pPr>
              <w:shd w:val="clear"/>
              <w:spacing w:line="360" w:lineRule="auto"/>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合计</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含税）</w:t>
            </w:r>
          </w:p>
        </w:tc>
        <w:tc>
          <w:tcPr>
            <w:tcW w:w="60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2A2512">
            <w:pPr>
              <w:shd w:val="clear"/>
              <w:spacing w:line="360" w:lineRule="auto"/>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10</w:t>
            </w:r>
          </w:p>
        </w:tc>
        <w:tc>
          <w:tcPr>
            <w:tcW w:w="110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3D7BF8">
            <w:pPr>
              <w:shd w:val="clear"/>
              <w:spacing w:line="360" w:lineRule="auto"/>
              <w:jc w:val="center"/>
              <w:rPr>
                <w:rFonts w:ascii="宋体" w:hAnsi="宋体" w:eastAsia="宋体" w:cs="宋体"/>
                <w:b/>
                <w:bCs/>
                <w:color w:val="auto"/>
                <w:sz w:val="21"/>
                <w:szCs w:val="21"/>
                <w:highlight w:val="none"/>
              </w:rPr>
            </w:pPr>
          </w:p>
        </w:tc>
        <w:tc>
          <w:tcPr>
            <w:tcW w:w="6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12A01F">
            <w:pPr>
              <w:shd w:val="clear"/>
              <w:spacing w:line="360" w:lineRule="auto"/>
              <w:jc w:val="center"/>
              <w:rPr>
                <w:rFonts w:ascii="宋体" w:hAnsi="宋体" w:eastAsia="宋体" w:cs="宋体"/>
                <w:b/>
                <w:bCs/>
                <w:color w:val="auto"/>
                <w:sz w:val="21"/>
                <w:szCs w:val="21"/>
                <w:highlight w:val="none"/>
              </w:rPr>
            </w:pPr>
          </w:p>
        </w:tc>
        <w:tc>
          <w:tcPr>
            <w:tcW w:w="8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1B4B80">
            <w:pPr>
              <w:shd w:val="clear"/>
              <w:spacing w:line="360" w:lineRule="auto"/>
              <w:jc w:val="center"/>
              <w:rPr>
                <w:rFonts w:ascii="宋体" w:hAnsi="宋体" w:eastAsia="宋体" w:cs="宋体"/>
                <w:b/>
                <w:bCs/>
                <w:color w:val="auto"/>
                <w:sz w:val="21"/>
                <w:szCs w:val="21"/>
                <w:highlight w:val="none"/>
              </w:rPr>
            </w:pPr>
          </w:p>
        </w:tc>
      </w:tr>
      <w:tr w14:paraId="000D4CCA">
        <w:tblPrEx>
          <w:tblCellMar>
            <w:top w:w="0" w:type="dxa"/>
            <w:left w:w="0" w:type="dxa"/>
            <w:bottom w:w="0" w:type="dxa"/>
            <w:right w:w="0" w:type="dxa"/>
          </w:tblCellMar>
        </w:tblPrEx>
        <w:trPr>
          <w:trHeight w:val="936" w:hRule="atLeast"/>
        </w:trPr>
        <w:tc>
          <w:tcPr>
            <w:tcW w:w="5000"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421365">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备注：</w:t>
            </w:r>
            <w:r>
              <w:rPr>
                <w:rFonts w:hint="eastAsia" w:ascii="宋体" w:hAnsi="宋体" w:eastAsia="宋体" w:cs="宋体"/>
                <w:color w:val="auto"/>
                <w:spacing w:val="2"/>
                <w:sz w:val="21"/>
                <w:szCs w:val="21"/>
                <w:highlight w:val="none"/>
                <w:lang w:val="en-US" w:eastAsia="zh-CN"/>
              </w:rPr>
              <w:t>基本服务费用包含人员基本费（即项目</w:t>
            </w:r>
            <w:r>
              <w:rPr>
                <w:rFonts w:hint="eastAsia" w:ascii="宋体" w:hAnsi="宋体" w:eastAsia="宋体" w:cs="宋体"/>
                <w:color w:val="auto"/>
                <w:spacing w:val="2"/>
                <w:sz w:val="21"/>
                <w:szCs w:val="21"/>
                <w:highlight w:val="none"/>
              </w:rPr>
              <w:t>营销人员及</w:t>
            </w:r>
            <w:r>
              <w:rPr>
                <w:rFonts w:hint="eastAsia" w:ascii="宋体" w:hAnsi="宋体" w:eastAsia="宋体" w:cs="宋体"/>
                <w:color w:val="auto"/>
                <w:spacing w:val="2"/>
                <w:sz w:val="21"/>
                <w:szCs w:val="21"/>
                <w:highlight w:val="none"/>
                <w:lang w:val="en-US" w:eastAsia="zh-CN"/>
              </w:rPr>
              <w:t>乙方</w:t>
            </w:r>
            <w:r>
              <w:rPr>
                <w:rFonts w:hint="eastAsia" w:ascii="宋体" w:hAnsi="宋体" w:eastAsia="宋体" w:cs="宋体"/>
                <w:color w:val="auto"/>
                <w:spacing w:val="2"/>
                <w:sz w:val="21"/>
                <w:szCs w:val="21"/>
                <w:highlight w:val="none"/>
              </w:rPr>
              <w:t>后台人员</w:t>
            </w:r>
            <w:r>
              <w:rPr>
                <w:rFonts w:hint="eastAsia" w:ascii="宋体" w:hAnsi="宋体" w:cs="宋体"/>
                <w:color w:val="auto"/>
                <w:spacing w:val="2"/>
                <w:sz w:val="21"/>
                <w:szCs w:val="21"/>
                <w:highlight w:val="none"/>
                <w:lang w:eastAsia="zh-CN"/>
              </w:rPr>
              <w:t>基础薪酬、各项福利补贴、年终奖、社保费、公积金、员工培训费、通讯费、差旅费、服装费等</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w:t>
            </w:r>
            <w:r>
              <w:rPr>
                <w:rFonts w:hint="eastAsia" w:ascii="宋体" w:hAnsi="宋体" w:eastAsia="宋体" w:cs="宋体"/>
                <w:color w:val="auto"/>
                <w:spacing w:val="2"/>
                <w:sz w:val="21"/>
                <w:szCs w:val="21"/>
                <w:highlight w:val="none"/>
              </w:rPr>
              <w:t>行政办公费用</w:t>
            </w:r>
            <w:r>
              <w:rPr>
                <w:rFonts w:hint="eastAsia" w:ascii="宋体" w:hAnsi="宋体" w:eastAsia="宋体" w:cs="宋体"/>
                <w:color w:val="auto"/>
                <w:spacing w:val="2"/>
                <w:sz w:val="21"/>
                <w:szCs w:val="21"/>
                <w:highlight w:val="none"/>
                <w:lang w:eastAsia="zh-CN"/>
              </w:rPr>
              <w:t>（</w:t>
            </w:r>
            <w:r>
              <w:rPr>
                <w:rFonts w:hint="eastAsia" w:ascii="宋体" w:hAnsi="宋体" w:cs="宋体"/>
                <w:color w:val="auto"/>
                <w:spacing w:val="2"/>
                <w:sz w:val="21"/>
                <w:szCs w:val="21"/>
                <w:highlight w:val="none"/>
                <w:lang w:val="en-US" w:eastAsia="zh-CN"/>
              </w:rPr>
              <w:t>办公设备（电脑、打印机等）、</w:t>
            </w:r>
            <w:r>
              <w:rPr>
                <w:rFonts w:hint="eastAsia" w:ascii="宋体" w:hAnsi="宋体" w:eastAsia="宋体" w:cs="宋体"/>
                <w:color w:val="auto"/>
                <w:spacing w:val="2"/>
                <w:sz w:val="21"/>
                <w:szCs w:val="21"/>
                <w:highlight w:val="none"/>
              </w:rPr>
              <w:t>办公耗材（</w:t>
            </w:r>
            <w:r>
              <w:rPr>
                <w:rFonts w:hint="eastAsia" w:ascii="宋体" w:hAnsi="宋体" w:eastAsia="宋体" w:cs="宋体"/>
                <w:color w:val="auto"/>
                <w:spacing w:val="2"/>
                <w:sz w:val="21"/>
                <w:szCs w:val="21"/>
                <w:highlight w:val="none"/>
                <w:lang w:val="en-US" w:eastAsia="zh-CN"/>
              </w:rPr>
              <w:t>售楼处的</w:t>
            </w:r>
            <w:r>
              <w:rPr>
                <w:rFonts w:hint="eastAsia" w:ascii="宋体" w:hAnsi="宋体" w:eastAsia="宋体" w:cs="宋体"/>
                <w:color w:val="auto"/>
                <w:spacing w:val="2"/>
                <w:sz w:val="21"/>
                <w:szCs w:val="21"/>
                <w:highlight w:val="none"/>
              </w:rPr>
              <w:t>办公文具、</w:t>
            </w:r>
            <w:r>
              <w:rPr>
                <w:rFonts w:hint="eastAsia" w:ascii="宋体" w:hAnsi="宋体" w:eastAsia="宋体" w:cs="宋体"/>
                <w:color w:val="auto"/>
                <w:spacing w:val="2"/>
                <w:sz w:val="21"/>
                <w:szCs w:val="21"/>
                <w:highlight w:val="none"/>
                <w:lang w:val="en-US" w:eastAsia="zh-CN"/>
              </w:rPr>
              <w:t>打印</w:t>
            </w:r>
            <w:r>
              <w:rPr>
                <w:rFonts w:hint="eastAsia" w:ascii="宋体" w:hAnsi="宋体" w:eastAsia="宋体" w:cs="宋体"/>
                <w:color w:val="auto"/>
                <w:spacing w:val="2"/>
                <w:sz w:val="21"/>
                <w:szCs w:val="21"/>
                <w:highlight w:val="none"/>
              </w:rPr>
              <w:t>纸张、</w:t>
            </w:r>
            <w:r>
              <w:rPr>
                <w:rFonts w:hint="eastAsia" w:ascii="宋体" w:hAnsi="宋体" w:eastAsia="宋体" w:cs="宋体"/>
                <w:color w:val="auto"/>
                <w:spacing w:val="2"/>
                <w:sz w:val="21"/>
                <w:szCs w:val="21"/>
                <w:highlight w:val="none"/>
                <w:lang w:val="en-US" w:eastAsia="zh-CN"/>
              </w:rPr>
              <w:t>打印机墨盒等</w:t>
            </w:r>
            <w:r>
              <w:rPr>
                <w:rFonts w:hint="eastAsia" w:ascii="宋体" w:hAnsi="宋体" w:eastAsia="宋体" w:cs="宋体"/>
                <w:color w:val="auto"/>
                <w:spacing w:val="2"/>
                <w:sz w:val="21"/>
                <w:szCs w:val="21"/>
                <w:highlight w:val="none"/>
              </w:rPr>
              <w:t>）、劳保费用、工装等办公杂费</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及相应的管理费和税金</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基本</w:t>
            </w:r>
            <w:r>
              <w:rPr>
                <w:rFonts w:hint="eastAsia" w:ascii="宋体" w:hAnsi="宋体" w:eastAsia="宋体" w:cs="宋体"/>
                <w:color w:val="auto"/>
                <w:spacing w:val="2"/>
                <w:sz w:val="21"/>
                <w:szCs w:val="21"/>
                <w:highlight w:val="none"/>
                <w:lang w:val="en-US" w:eastAsia="zh-CN"/>
              </w:rPr>
              <w:t>服务</w:t>
            </w:r>
            <w:r>
              <w:rPr>
                <w:rFonts w:hint="eastAsia" w:ascii="宋体" w:hAnsi="宋体" w:eastAsia="宋体" w:cs="宋体"/>
                <w:color w:val="auto"/>
                <w:spacing w:val="2"/>
                <w:sz w:val="21"/>
                <w:szCs w:val="21"/>
                <w:highlight w:val="none"/>
              </w:rPr>
              <w:t>费用</w:t>
            </w:r>
            <w:r>
              <w:rPr>
                <w:rFonts w:hint="eastAsia" w:ascii="宋体" w:hAnsi="宋体" w:cs="宋体"/>
                <w:color w:val="auto"/>
                <w:sz w:val="21"/>
                <w:szCs w:val="21"/>
                <w:highlight w:val="none"/>
              </w:rPr>
              <w:t>固定全费用综合单价包干，</w:t>
            </w:r>
            <w:r>
              <w:rPr>
                <w:rFonts w:hint="eastAsia" w:ascii="宋体" w:hAnsi="宋体" w:cs="宋体"/>
                <w:color w:val="auto"/>
                <w:sz w:val="21"/>
                <w:szCs w:val="21"/>
                <w:highlight w:val="none"/>
                <w:lang w:eastAsia="zh-CN"/>
              </w:rPr>
              <w:t>甲方不再就上述内容支付任何其它费用</w:t>
            </w:r>
            <w:r>
              <w:rPr>
                <w:rFonts w:hint="eastAsia" w:ascii="宋体" w:hAnsi="宋体" w:cs="宋体"/>
                <w:color w:val="auto"/>
                <w:sz w:val="21"/>
                <w:szCs w:val="21"/>
                <w:highlight w:val="none"/>
              </w:rPr>
              <w:t>。甲方根据</w:t>
            </w:r>
            <w:r>
              <w:rPr>
                <w:rFonts w:hint="eastAsia" w:ascii="宋体" w:hAnsi="宋体" w:cs="宋体"/>
                <w:color w:val="auto"/>
                <w:sz w:val="21"/>
                <w:szCs w:val="21"/>
                <w:highlight w:val="none"/>
                <w:lang w:val="en-US" w:eastAsia="zh-CN"/>
              </w:rPr>
              <w:t>乙方每月</w:t>
            </w:r>
            <w:r>
              <w:rPr>
                <w:rFonts w:hint="eastAsia" w:ascii="宋体" w:hAnsi="宋体" w:cs="宋体"/>
                <w:color w:val="auto"/>
                <w:sz w:val="21"/>
                <w:szCs w:val="21"/>
                <w:highlight w:val="none"/>
              </w:rPr>
              <w:t>实际到岗</w:t>
            </w:r>
            <w:r>
              <w:rPr>
                <w:rFonts w:hint="eastAsia" w:ascii="宋体" w:hAnsi="宋体" w:cs="宋体"/>
                <w:color w:val="auto"/>
                <w:sz w:val="21"/>
                <w:szCs w:val="21"/>
                <w:highlight w:val="none"/>
                <w:lang w:val="en-US" w:eastAsia="zh-CN"/>
              </w:rPr>
              <w:t>人员</w:t>
            </w:r>
            <w:r>
              <w:rPr>
                <w:rFonts w:hint="eastAsia" w:ascii="宋体" w:hAnsi="宋体" w:cs="宋体"/>
                <w:color w:val="auto"/>
                <w:sz w:val="21"/>
                <w:szCs w:val="21"/>
                <w:highlight w:val="none"/>
              </w:rPr>
              <w:t>情况</w:t>
            </w:r>
            <w:r>
              <w:rPr>
                <w:rFonts w:hint="eastAsia" w:ascii="宋体" w:hAnsi="宋体" w:cs="宋体"/>
                <w:color w:val="auto"/>
                <w:sz w:val="21"/>
                <w:szCs w:val="21"/>
                <w:highlight w:val="none"/>
                <w:lang w:val="en-US" w:eastAsia="zh-CN"/>
              </w:rPr>
              <w:t>按实</w:t>
            </w:r>
            <w:r>
              <w:rPr>
                <w:rFonts w:hint="eastAsia" w:ascii="宋体" w:hAnsi="宋体" w:cs="宋体"/>
                <w:color w:val="auto"/>
                <w:sz w:val="21"/>
                <w:szCs w:val="21"/>
                <w:highlight w:val="none"/>
              </w:rPr>
              <w:t>结算支付</w:t>
            </w:r>
            <w:r>
              <w:rPr>
                <w:rFonts w:hint="eastAsia" w:ascii="宋体" w:hAnsi="宋体" w:cs="宋体"/>
                <w:color w:val="auto"/>
                <w:sz w:val="21"/>
                <w:szCs w:val="21"/>
                <w:highlight w:val="none"/>
                <w:lang w:val="en-US" w:eastAsia="zh-CN"/>
              </w:rPr>
              <w:t>月基本服务费，</w:t>
            </w:r>
            <w:r>
              <w:rPr>
                <w:rFonts w:hint="eastAsia" w:asciiTheme="minorEastAsia" w:hAnsiTheme="minorEastAsia" w:eastAsiaTheme="minorEastAsia"/>
                <w:color w:val="auto"/>
                <w:szCs w:val="21"/>
                <w:highlight w:val="none"/>
                <w:lang w:val="en-US" w:eastAsia="zh-CN"/>
              </w:rPr>
              <w:t>且结算金额不超过月基本服务费合同签约价</w:t>
            </w:r>
            <w:r>
              <w:rPr>
                <w:rFonts w:hint="eastAsia" w:ascii="宋体" w:hAnsi="宋体" w:cs="宋体"/>
                <w:color w:val="auto"/>
                <w:sz w:val="21"/>
                <w:szCs w:val="21"/>
                <w:highlight w:val="none"/>
                <w:lang w:val="en-US" w:eastAsia="zh-CN"/>
              </w:rPr>
              <w:t>。</w:t>
            </w:r>
          </w:p>
        </w:tc>
      </w:tr>
    </w:tbl>
    <w:p w14:paraId="68ACB076">
      <w:pPr>
        <w:shd w:val="clear"/>
        <w:rPr>
          <w:rFonts w:ascii="宋体" w:hAnsi="宋体" w:cs="宋体"/>
          <w:color w:val="auto"/>
          <w:szCs w:val="21"/>
          <w:highlight w:val="none"/>
        </w:rPr>
      </w:pPr>
    </w:p>
    <w:p w14:paraId="5123C8B2">
      <w:pPr>
        <w:shd w:val="clear" w:color="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r>
        <w:rPr>
          <w:rFonts w:hint="eastAsia" w:ascii="宋体" w:hAnsi="宋体"/>
          <w:color w:val="auto"/>
          <w:highlight w:val="none"/>
          <w:lang w:eastAsia="zh-CN"/>
        </w:rPr>
        <w:t>（</w:t>
      </w:r>
      <w:r>
        <w:rPr>
          <w:rFonts w:hint="eastAsia" w:ascii="宋体" w:hAnsi="宋体"/>
          <w:color w:val="auto"/>
          <w:highlight w:val="none"/>
        </w:rPr>
        <w:t>签字或盖章</w:t>
      </w:r>
      <w:r>
        <w:rPr>
          <w:rFonts w:hint="eastAsia" w:ascii="宋体" w:hAnsi="宋体"/>
          <w:color w:val="auto"/>
          <w:highlight w:val="none"/>
          <w:lang w:eastAsia="zh-CN"/>
        </w:rPr>
        <w:t>）</w:t>
      </w:r>
      <w:r>
        <w:rPr>
          <w:rFonts w:hint="eastAsia" w:ascii="宋体" w:hAnsi="宋体" w:eastAsia="宋体" w:cs="宋体"/>
          <w:color w:val="auto"/>
          <w:szCs w:val="21"/>
          <w:highlight w:val="none"/>
        </w:rPr>
        <w:t>：</w:t>
      </w:r>
    </w:p>
    <w:p w14:paraId="43C8618A">
      <w:pPr>
        <w:shd w:val="clear" w:color="auto"/>
        <w:spacing w:line="360" w:lineRule="auto"/>
        <w:jc w:val="right"/>
        <w:rPr>
          <w:rFonts w:hint="eastAsia" w:ascii="宋体" w:hAnsi="宋体" w:eastAsia="微软雅黑"/>
          <w:color w:val="auto"/>
          <w:szCs w:val="21"/>
          <w:highlight w:val="none"/>
          <w:u w:val="none"/>
        </w:rPr>
      </w:pPr>
      <w:r>
        <w:rPr>
          <w:rFonts w:hint="eastAsia" w:ascii="宋体" w:hAnsi="宋体"/>
          <w:color w:val="auto"/>
          <w:szCs w:val="21"/>
          <w:highlight w:val="none"/>
          <w:u w:val="none"/>
        </w:rPr>
        <w:t>日期：     年   月   日</w:t>
      </w:r>
    </w:p>
    <w:p w14:paraId="42530CD8">
      <w:pPr>
        <w:widowControl w:val="0"/>
        <w:shd w:val="clear" w:color="auto"/>
        <w:spacing w:before="156" w:after="156"/>
        <w:ind w:firstLine="0" w:firstLineChars="0"/>
        <w:jc w:val="both"/>
        <w:rPr>
          <w:rFonts w:hint="eastAsia" w:ascii="宋体" w:hAnsi="宋体" w:eastAsia="宋体" w:cs="宋体"/>
          <w:color w:val="auto"/>
          <w:kern w:val="2"/>
          <w:sz w:val="21"/>
          <w:szCs w:val="22"/>
          <w:highlight w:val="none"/>
          <w:lang w:val="en-US" w:eastAsia="zh-CN" w:bidi="ar-SA"/>
        </w:rPr>
      </w:pPr>
    </w:p>
    <w:p w14:paraId="7EC3B903">
      <w:pPr>
        <w:shd w:val="clear"/>
        <w:jc w:val="left"/>
        <w:rPr>
          <w:rFonts w:ascii="宋体" w:hAnsi="宋体" w:cs="宋体"/>
          <w:color w:val="auto"/>
          <w:sz w:val="24"/>
          <w:szCs w:val="24"/>
          <w:highlight w:val="none"/>
        </w:rPr>
      </w:pPr>
    </w:p>
    <w:p w14:paraId="418F2DC0">
      <w:pPr>
        <w:pStyle w:val="17"/>
        <w:numPr>
          <w:ilvl w:val="0"/>
          <w:numId w:val="0"/>
        </w:numPr>
        <w:shd w:val="clear"/>
        <w:rPr>
          <w:rFonts w:ascii="宋体" w:hAnsi="宋体" w:cs="宋体"/>
          <w:bCs/>
          <w:color w:val="auto"/>
          <w:sz w:val="24"/>
          <w:highlight w:val="none"/>
        </w:rPr>
      </w:pPr>
    </w:p>
    <w:p w14:paraId="2A4C38AD">
      <w:pPr>
        <w:shd w:val="clear"/>
        <w:rPr>
          <w:rFonts w:hint="eastAsia" w:ascii="宋体" w:hAnsi="宋体" w:cs="宋体"/>
          <w:b/>
          <w:color w:val="auto"/>
          <w:szCs w:val="21"/>
          <w:highlight w:val="none"/>
        </w:rPr>
      </w:pPr>
      <w:r>
        <w:rPr>
          <w:rFonts w:hint="eastAsia" w:ascii="宋体" w:hAnsi="宋体" w:cs="宋体"/>
          <w:b/>
          <w:color w:val="auto"/>
          <w:szCs w:val="21"/>
          <w:highlight w:val="none"/>
        </w:rPr>
        <w:br w:type="page"/>
      </w:r>
    </w:p>
    <w:p w14:paraId="0EE101CB">
      <w:pPr>
        <w:keepNext w:val="0"/>
        <w:keepLines w:val="0"/>
        <w:pageBreakBefore w:val="0"/>
        <w:widowControl w:val="0"/>
        <w:shd w:val="clear" w:color="auto"/>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五、项目组人员配置</w:t>
      </w:r>
    </w:p>
    <w:p w14:paraId="6FF2F0F4">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投标人全称（加盖公章）：</w:t>
      </w:r>
    </w:p>
    <w:p w14:paraId="78BE172A">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14:paraId="04966E28">
      <w:pPr>
        <w:keepNext w:val="0"/>
        <w:keepLines w:val="0"/>
        <w:pageBreakBefore w:val="0"/>
        <w:widowControl w:val="0"/>
        <w:shd w:val="clear" w:color="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bl>
      <w:tblPr>
        <w:tblStyle w:val="34"/>
        <w:tblW w:w="930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001"/>
        <w:gridCol w:w="1443"/>
        <w:gridCol w:w="1444"/>
        <w:gridCol w:w="1155"/>
        <w:gridCol w:w="4258"/>
      </w:tblGrid>
      <w:tr w14:paraId="54A6E4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33" w:hRule="atLeast"/>
          <w:jc w:val="center"/>
        </w:trPr>
        <w:tc>
          <w:tcPr>
            <w:tcW w:w="1001" w:type="dxa"/>
            <w:tcBorders>
              <w:top w:val="single" w:color="000000" w:sz="8" w:space="0"/>
              <w:left w:val="single" w:color="000000" w:sz="8"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50D3AC9">
            <w:pPr>
              <w:shd w:val="clear" w:color="auto"/>
              <w:tabs>
                <w:tab w:val="left" w:pos="72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TW" w:eastAsia="zh-TW"/>
              </w:rPr>
              <w:t>姓名</w:t>
            </w:r>
          </w:p>
        </w:tc>
        <w:tc>
          <w:tcPr>
            <w:tcW w:w="1443" w:type="dxa"/>
            <w:tcBorders>
              <w:top w:val="single" w:color="000000" w:sz="8"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5C6C008">
            <w:pPr>
              <w:shd w:val="clear" w:color="auto"/>
              <w:tabs>
                <w:tab w:val="left" w:pos="72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TW" w:eastAsia="zh-TW"/>
              </w:rPr>
              <w:t>公司职务</w:t>
            </w:r>
          </w:p>
        </w:tc>
        <w:tc>
          <w:tcPr>
            <w:tcW w:w="1444" w:type="dxa"/>
            <w:tcBorders>
              <w:top w:val="single" w:color="000000" w:sz="8"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77CD8AC">
            <w:pPr>
              <w:shd w:val="clear" w:color="auto"/>
              <w:tabs>
                <w:tab w:val="left" w:pos="72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TW" w:eastAsia="zh-TW"/>
              </w:rPr>
              <w:t>项目职务</w:t>
            </w:r>
          </w:p>
        </w:tc>
        <w:tc>
          <w:tcPr>
            <w:tcW w:w="1155" w:type="dxa"/>
            <w:tcBorders>
              <w:top w:val="single" w:color="000000" w:sz="8"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71BE850">
            <w:pPr>
              <w:shd w:val="clear" w:color="auto"/>
              <w:tabs>
                <w:tab w:val="left" w:pos="72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TW" w:eastAsia="zh-TW"/>
              </w:rPr>
              <w:t>从业年限</w:t>
            </w:r>
          </w:p>
        </w:tc>
        <w:tc>
          <w:tcPr>
            <w:tcW w:w="4256" w:type="dxa"/>
            <w:tcBorders>
              <w:top w:val="single" w:color="000000" w:sz="8" w:space="0"/>
              <w:left w:val="single" w:color="000000" w:sz="4" w:space="0"/>
              <w:bottom w:val="single" w:color="000000" w:sz="4" w:space="0"/>
              <w:right w:val="single" w:color="000000" w:sz="8" w:space="0"/>
            </w:tcBorders>
            <w:shd w:val="clear" w:color="auto" w:fill="auto"/>
            <w:noWrap w:val="0"/>
            <w:tcMar>
              <w:top w:w="80" w:type="dxa"/>
              <w:left w:w="80" w:type="dxa"/>
              <w:bottom w:w="80" w:type="dxa"/>
              <w:right w:w="80" w:type="dxa"/>
            </w:tcMar>
            <w:vAlign w:val="center"/>
          </w:tcPr>
          <w:p w14:paraId="3A9B110F">
            <w:pPr>
              <w:shd w:val="clear" w:color="auto"/>
              <w:tabs>
                <w:tab w:val="left" w:pos="720"/>
                <w:tab w:val="left" w:pos="1440"/>
                <w:tab w:val="left" w:pos="2160"/>
                <w:tab w:val="left" w:pos="2880"/>
                <w:tab w:val="left" w:pos="3600"/>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TW" w:eastAsia="zh-TW"/>
              </w:rPr>
              <w:t>承担项目经历</w:t>
            </w:r>
          </w:p>
        </w:tc>
      </w:tr>
      <w:tr w14:paraId="32A705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33" w:hRule="atLeast"/>
          <w:jc w:val="center"/>
        </w:trPr>
        <w:tc>
          <w:tcPr>
            <w:tcW w:w="1001" w:type="dxa"/>
            <w:tcBorders>
              <w:top w:val="single" w:color="000000" w:sz="4" w:space="0"/>
              <w:left w:val="single" w:color="000000" w:sz="8"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E7E55CA">
            <w:pPr>
              <w:shd w:val="clear" w:color="auto"/>
              <w:jc w:val="center"/>
              <w:rPr>
                <w:rFonts w:hint="eastAsia" w:ascii="宋体" w:hAnsi="宋体" w:eastAsia="宋体" w:cs="宋体"/>
                <w:color w:val="auto"/>
                <w:szCs w:val="21"/>
                <w:highlight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168BDBC">
            <w:pPr>
              <w:shd w:val="clear" w:color="auto"/>
              <w:jc w:val="center"/>
              <w:rPr>
                <w:rFonts w:hint="eastAsia" w:ascii="宋体" w:hAnsi="宋体" w:eastAsia="宋体" w:cs="宋体"/>
                <w:color w:val="auto"/>
                <w:szCs w:val="21"/>
                <w:highlight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2865182">
            <w:pPr>
              <w:shd w:val="clear" w:color="auto"/>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D0F5C3B">
            <w:pPr>
              <w:shd w:val="clear" w:color="auto"/>
              <w:jc w:val="center"/>
              <w:rPr>
                <w:rFonts w:hint="eastAsia" w:ascii="宋体" w:hAnsi="宋体" w:eastAsia="宋体" w:cs="宋体"/>
                <w:color w:val="auto"/>
                <w:szCs w:val="21"/>
                <w:highlight w:val="none"/>
              </w:rPr>
            </w:pPr>
          </w:p>
        </w:tc>
        <w:tc>
          <w:tcPr>
            <w:tcW w:w="4256" w:type="dxa"/>
            <w:tcBorders>
              <w:top w:val="single" w:color="000000" w:sz="4" w:space="0"/>
              <w:left w:val="single" w:color="000000" w:sz="4" w:space="0"/>
              <w:bottom w:val="single" w:color="000000" w:sz="4" w:space="0"/>
              <w:right w:val="single" w:color="000000" w:sz="8" w:space="0"/>
            </w:tcBorders>
            <w:shd w:val="clear" w:color="auto" w:fill="auto"/>
            <w:noWrap w:val="0"/>
            <w:tcMar>
              <w:top w:w="80" w:type="dxa"/>
              <w:left w:w="80" w:type="dxa"/>
              <w:bottom w:w="80" w:type="dxa"/>
              <w:right w:w="80" w:type="dxa"/>
            </w:tcMar>
            <w:vAlign w:val="center"/>
          </w:tcPr>
          <w:p w14:paraId="36D0FB39">
            <w:pPr>
              <w:shd w:val="clear" w:color="auto"/>
              <w:jc w:val="center"/>
              <w:rPr>
                <w:rFonts w:hint="eastAsia" w:ascii="宋体" w:hAnsi="宋体" w:eastAsia="宋体" w:cs="宋体"/>
                <w:color w:val="auto"/>
                <w:szCs w:val="21"/>
                <w:highlight w:val="none"/>
              </w:rPr>
            </w:pPr>
          </w:p>
        </w:tc>
      </w:tr>
      <w:tr w14:paraId="1C59DB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33" w:hRule="atLeast"/>
          <w:jc w:val="center"/>
        </w:trPr>
        <w:tc>
          <w:tcPr>
            <w:tcW w:w="1001" w:type="dxa"/>
            <w:tcBorders>
              <w:top w:val="single" w:color="000000" w:sz="4" w:space="0"/>
              <w:left w:val="single" w:color="000000" w:sz="8"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34F4BA32">
            <w:pPr>
              <w:shd w:val="clear" w:color="auto"/>
              <w:jc w:val="center"/>
              <w:rPr>
                <w:rFonts w:hint="eastAsia" w:ascii="宋体" w:hAnsi="宋体" w:eastAsia="宋体" w:cs="宋体"/>
                <w:color w:val="auto"/>
                <w:szCs w:val="21"/>
                <w:highlight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376F844">
            <w:pPr>
              <w:shd w:val="clear" w:color="auto"/>
              <w:jc w:val="center"/>
              <w:rPr>
                <w:rFonts w:hint="eastAsia" w:ascii="宋体" w:hAnsi="宋体" w:eastAsia="宋体" w:cs="宋体"/>
                <w:color w:val="auto"/>
                <w:szCs w:val="21"/>
                <w:highlight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3F703A1">
            <w:pPr>
              <w:shd w:val="clear" w:color="auto"/>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FAFC050">
            <w:pPr>
              <w:shd w:val="clear" w:color="auto"/>
              <w:jc w:val="center"/>
              <w:rPr>
                <w:rFonts w:hint="eastAsia" w:ascii="宋体" w:hAnsi="宋体" w:eastAsia="宋体" w:cs="宋体"/>
                <w:color w:val="auto"/>
                <w:szCs w:val="21"/>
                <w:highlight w:val="none"/>
              </w:rPr>
            </w:pPr>
          </w:p>
        </w:tc>
        <w:tc>
          <w:tcPr>
            <w:tcW w:w="4256" w:type="dxa"/>
            <w:tcBorders>
              <w:top w:val="single" w:color="000000" w:sz="4" w:space="0"/>
              <w:left w:val="single" w:color="000000" w:sz="4" w:space="0"/>
              <w:bottom w:val="single" w:color="000000" w:sz="4" w:space="0"/>
              <w:right w:val="single" w:color="000000" w:sz="8" w:space="0"/>
            </w:tcBorders>
            <w:shd w:val="clear" w:color="auto" w:fill="auto"/>
            <w:noWrap w:val="0"/>
            <w:tcMar>
              <w:top w:w="80" w:type="dxa"/>
              <w:left w:w="80" w:type="dxa"/>
              <w:bottom w:w="80" w:type="dxa"/>
              <w:right w:w="80" w:type="dxa"/>
            </w:tcMar>
            <w:vAlign w:val="center"/>
          </w:tcPr>
          <w:p w14:paraId="18EE9128">
            <w:pPr>
              <w:shd w:val="clear" w:color="auto"/>
              <w:jc w:val="center"/>
              <w:rPr>
                <w:rFonts w:hint="eastAsia" w:ascii="宋体" w:hAnsi="宋体" w:eastAsia="宋体" w:cs="宋体"/>
                <w:color w:val="auto"/>
                <w:szCs w:val="21"/>
                <w:highlight w:val="none"/>
              </w:rPr>
            </w:pPr>
          </w:p>
        </w:tc>
      </w:tr>
      <w:tr w14:paraId="55E72F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33" w:hRule="atLeast"/>
          <w:jc w:val="center"/>
        </w:trPr>
        <w:tc>
          <w:tcPr>
            <w:tcW w:w="1001" w:type="dxa"/>
            <w:tcBorders>
              <w:top w:val="single" w:color="000000" w:sz="4" w:space="0"/>
              <w:left w:val="single" w:color="000000" w:sz="8"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1BD7981">
            <w:pPr>
              <w:shd w:val="clear" w:color="auto"/>
              <w:jc w:val="center"/>
              <w:rPr>
                <w:rFonts w:hint="eastAsia" w:ascii="宋体" w:hAnsi="宋体" w:eastAsia="宋体" w:cs="宋体"/>
                <w:color w:val="auto"/>
                <w:szCs w:val="21"/>
                <w:highlight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A44E847">
            <w:pPr>
              <w:shd w:val="clear" w:color="auto"/>
              <w:jc w:val="center"/>
              <w:rPr>
                <w:rFonts w:hint="eastAsia" w:ascii="宋体" w:hAnsi="宋体" w:eastAsia="宋体" w:cs="宋体"/>
                <w:color w:val="auto"/>
                <w:szCs w:val="21"/>
                <w:highlight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F486256">
            <w:pPr>
              <w:shd w:val="clear" w:color="auto"/>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67C43757">
            <w:pPr>
              <w:shd w:val="clear" w:color="auto"/>
              <w:jc w:val="center"/>
              <w:rPr>
                <w:rFonts w:hint="eastAsia" w:ascii="宋体" w:hAnsi="宋体" w:eastAsia="宋体" w:cs="宋体"/>
                <w:color w:val="auto"/>
                <w:szCs w:val="21"/>
                <w:highlight w:val="none"/>
              </w:rPr>
            </w:pPr>
          </w:p>
        </w:tc>
        <w:tc>
          <w:tcPr>
            <w:tcW w:w="4256" w:type="dxa"/>
            <w:tcBorders>
              <w:top w:val="single" w:color="000000" w:sz="4" w:space="0"/>
              <w:left w:val="single" w:color="000000" w:sz="4" w:space="0"/>
              <w:bottom w:val="single" w:color="000000" w:sz="4" w:space="0"/>
              <w:right w:val="single" w:color="000000" w:sz="8" w:space="0"/>
            </w:tcBorders>
            <w:shd w:val="clear" w:color="auto" w:fill="auto"/>
            <w:noWrap w:val="0"/>
            <w:tcMar>
              <w:top w:w="80" w:type="dxa"/>
              <w:left w:w="80" w:type="dxa"/>
              <w:bottom w:w="80" w:type="dxa"/>
              <w:right w:w="80" w:type="dxa"/>
            </w:tcMar>
            <w:vAlign w:val="center"/>
          </w:tcPr>
          <w:p w14:paraId="3AE1ACA0">
            <w:pPr>
              <w:shd w:val="clear" w:color="auto"/>
              <w:jc w:val="center"/>
              <w:rPr>
                <w:rFonts w:hint="eastAsia" w:ascii="宋体" w:hAnsi="宋体" w:eastAsia="宋体" w:cs="宋体"/>
                <w:color w:val="auto"/>
                <w:szCs w:val="21"/>
                <w:highlight w:val="none"/>
              </w:rPr>
            </w:pPr>
          </w:p>
        </w:tc>
      </w:tr>
      <w:tr w14:paraId="497B4C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33" w:hRule="atLeast"/>
          <w:jc w:val="center"/>
        </w:trPr>
        <w:tc>
          <w:tcPr>
            <w:tcW w:w="1001" w:type="dxa"/>
            <w:tcBorders>
              <w:top w:val="single" w:color="000000" w:sz="4" w:space="0"/>
              <w:left w:val="single" w:color="000000" w:sz="8"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E902572">
            <w:pPr>
              <w:shd w:val="clear" w:color="auto"/>
              <w:jc w:val="center"/>
              <w:rPr>
                <w:rFonts w:hint="eastAsia" w:ascii="宋体" w:hAnsi="宋体" w:eastAsia="宋体" w:cs="宋体"/>
                <w:color w:val="auto"/>
                <w:szCs w:val="21"/>
                <w:highlight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7E32134">
            <w:pPr>
              <w:shd w:val="clear" w:color="auto"/>
              <w:jc w:val="center"/>
              <w:rPr>
                <w:rFonts w:hint="eastAsia" w:ascii="宋体" w:hAnsi="宋体" w:eastAsia="宋体" w:cs="宋体"/>
                <w:color w:val="auto"/>
                <w:szCs w:val="21"/>
                <w:highlight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03D169A">
            <w:pPr>
              <w:shd w:val="clear" w:color="auto"/>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8CD1A60">
            <w:pPr>
              <w:shd w:val="clear" w:color="auto"/>
              <w:jc w:val="center"/>
              <w:rPr>
                <w:rFonts w:hint="eastAsia" w:ascii="宋体" w:hAnsi="宋体" w:eastAsia="宋体" w:cs="宋体"/>
                <w:color w:val="auto"/>
                <w:szCs w:val="21"/>
                <w:highlight w:val="none"/>
              </w:rPr>
            </w:pPr>
          </w:p>
        </w:tc>
        <w:tc>
          <w:tcPr>
            <w:tcW w:w="4256" w:type="dxa"/>
            <w:tcBorders>
              <w:top w:val="single" w:color="000000" w:sz="4" w:space="0"/>
              <w:left w:val="single" w:color="000000" w:sz="4" w:space="0"/>
              <w:bottom w:val="single" w:color="000000" w:sz="4" w:space="0"/>
              <w:right w:val="single" w:color="000000" w:sz="8" w:space="0"/>
            </w:tcBorders>
            <w:shd w:val="clear" w:color="auto" w:fill="auto"/>
            <w:noWrap w:val="0"/>
            <w:tcMar>
              <w:top w:w="80" w:type="dxa"/>
              <w:left w:w="80" w:type="dxa"/>
              <w:bottom w:w="80" w:type="dxa"/>
              <w:right w:w="80" w:type="dxa"/>
            </w:tcMar>
            <w:vAlign w:val="center"/>
          </w:tcPr>
          <w:p w14:paraId="3303A682">
            <w:pPr>
              <w:shd w:val="clear" w:color="auto"/>
              <w:jc w:val="center"/>
              <w:rPr>
                <w:rFonts w:hint="eastAsia" w:ascii="宋体" w:hAnsi="宋体" w:eastAsia="宋体" w:cs="宋体"/>
                <w:color w:val="auto"/>
                <w:szCs w:val="21"/>
                <w:highlight w:val="none"/>
              </w:rPr>
            </w:pPr>
          </w:p>
        </w:tc>
      </w:tr>
      <w:tr w14:paraId="78EE99F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33" w:hRule="atLeast"/>
          <w:jc w:val="center"/>
        </w:trPr>
        <w:tc>
          <w:tcPr>
            <w:tcW w:w="1001" w:type="dxa"/>
            <w:tcBorders>
              <w:top w:val="single" w:color="000000" w:sz="4" w:space="0"/>
              <w:left w:val="single" w:color="000000" w:sz="8"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0A1229C7">
            <w:pPr>
              <w:shd w:val="clear" w:color="auto"/>
              <w:jc w:val="center"/>
              <w:rPr>
                <w:rFonts w:hint="eastAsia" w:ascii="宋体" w:hAnsi="宋体" w:eastAsia="宋体" w:cs="宋体"/>
                <w:color w:val="auto"/>
                <w:szCs w:val="21"/>
                <w:highlight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5954A892">
            <w:pPr>
              <w:shd w:val="clear" w:color="auto"/>
              <w:jc w:val="center"/>
              <w:rPr>
                <w:rFonts w:hint="eastAsia" w:ascii="宋体" w:hAnsi="宋体" w:eastAsia="宋体" w:cs="宋体"/>
                <w:color w:val="auto"/>
                <w:szCs w:val="21"/>
                <w:highlight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790C7D38">
            <w:pPr>
              <w:shd w:val="clear" w:color="auto"/>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89489DC">
            <w:pPr>
              <w:shd w:val="clear" w:color="auto"/>
              <w:jc w:val="center"/>
              <w:rPr>
                <w:rFonts w:hint="eastAsia" w:ascii="宋体" w:hAnsi="宋体" w:eastAsia="宋体" w:cs="宋体"/>
                <w:color w:val="auto"/>
                <w:szCs w:val="21"/>
                <w:highlight w:val="none"/>
              </w:rPr>
            </w:pPr>
          </w:p>
        </w:tc>
        <w:tc>
          <w:tcPr>
            <w:tcW w:w="4256" w:type="dxa"/>
            <w:tcBorders>
              <w:top w:val="single" w:color="000000" w:sz="4" w:space="0"/>
              <w:left w:val="single" w:color="000000" w:sz="4" w:space="0"/>
              <w:bottom w:val="single" w:color="000000" w:sz="4" w:space="0"/>
              <w:right w:val="single" w:color="000000" w:sz="8" w:space="0"/>
            </w:tcBorders>
            <w:shd w:val="clear" w:color="auto" w:fill="auto"/>
            <w:noWrap w:val="0"/>
            <w:tcMar>
              <w:top w:w="80" w:type="dxa"/>
              <w:left w:w="80" w:type="dxa"/>
              <w:bottom w:w="80" w:type="dxa"/>
              <w:right w:w="80" w:type="dxa"/>
            </w:tcMar>
            <w:vAlign w:val="center"/>
          </w:tcPr>
          <w:p w14:paraId="77274F3C">
            <w:pPr>
              <w:shd w:val="clear" w:color="auto"/>
              <w:jc w:val="center"/>
              <w:rPr>
                <w:rFonts w:hint="eastAsia" w:ascii="宋体" w:hAnsi="宋体" w:eastAsia="宋体" w:cs="宋体"/>
                <w:color w:val="auto"/>
                <w:szCs w:val="21"/>
                <w:highlight w:val="none"/>
              </w:rPr>
            </w:pPr>
          </w:p>
        </w:tc>
      </w:tr>
      <w:tr w14:paraId="4A12BA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33" w:hRule="atLeast"/>
          <w:jc w:val="center"/>
        </w:trPr>
        <w:tc>
          <w:tcPr>
            <w:tcW w:w="1001" w:type="dxa"/>
            <w:tcBorders>
              <w:top w:val="single" w:color="000000" w:sz="4" w:space="0"/>
              <w:left w:val="single" w:color="000000" w:sz="8"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40399E2C">
            <w:pPr>
              <w:shd w:val="clear" w:color="auto"/>
              <w:jc w:val="center"/>
              <w:rPr>
                <w:rFonts w:hint="eastAsia" w:ascii="宋体" w:hAnsi="宋体" w:eastAsia="宋体" w:cs="宋体"/>
                <w:color w:val="auto"/>
                <w:szCs w:val="21"/>
                <w:highlight w:val="none"/>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D4AB7B9">
            <w:pPr>
              <w:shd w:val="clear" w:color="auto"/>
              <w:jc w:val="center"/>
              <w:rPr>
                <w:rFonts w:hint="eastAsia" w:ascii="宋体" w:hAnsi="宋体" w:eastAsia="宋体" w:cs="宋体"/>
                <w:color w:val="auto"/>
                <w:szCs w:val="21"/>
                <w:highlight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27970562">
            <w:pPr>
              <w:shd w:val="clear" w:color="auto"/>
              <w:jc w:val="center"/>
              <w:rPr>
                <w:rFonts w:hint="eastAsia" w:ascii="宋体" w:hAnsi="宋体" w:eastAsia="宋体" w:cs="宋体"/>
                <w:color w:val="auto"/>
                <w:szCs w:val="21"/>
                <w:highlight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val="0"/>
            <w:tcMar>
              <w:top w:w="80" w:type="dxa"/>
              <w:left w:w="80" w:type="dxa"/>
              <w:bottom w:w="80" w:type="dxa"/>
              <w:right w:w="80" w:type="dxa"/>
            </w:tcMar>
            <w:vAlign w:val="center"/>
          </w:tcPr>
          <w:p w14:paraId="1F5F419E">
            <w:pPr>
              <w:shd w:val="clear" w:color="auto"/>
              <w:jc w:val="center"/>
              <w:rPr>
                <w:rFonts w:hint="eastAsia" w:ascii="宋体" w:hAnsi="宋体" w:eastAsia="宋体" w:cs="宋体"/>
                <w:color w:val="auto"/>
                <w:szCs w:val="21"/>
                <w:highlight w:val="none"/>
              </w:rPr>
            </w:pPr>
          </w:p>
        </w:tc>
        <w:tc>
          <w:tcPr>
            <w:tcW w:w="4256" w:type="dxa"/>
            <w:tcBorders>
              <w:top w:val="single" w:color="000000" w:sz="4" w:space="0"/>
              <w:left w:val="single" w:color="000000" w:sz="4" w:space="0"/>
              <w:bottom w:val="single" w:color="000000" w:sz="4" w:space="0"/>
              <w:right w:val="single" w:color="000000" w:sz="8" w:space="0"/>
            </w:tcBorders>
            <w:shd w:val="clear" w:color="auto" w:fill="auto"/>
            <w:noWrap w:val="0"/>
            <w:tcMar>
              <w:top w:w="80" w:type="dxa"/>
              <w:left w:w="80" w:type="dxa"/>
              <w:bottom w:w="80" w:type="dxa"/>
              <w:right w:w="80" w:type="dxa"/>
            </w:tcMar>
            <w:vAlign w:val="center"/>
          </w:tcPr>
          <w:p w14:paraId="4F0BC349">
            <w:pPr>
              <w:shd w:val="clear" w:color="auto"/>
              <w:jc w:val="center"/>
              <w:rPr>
                <w:rFonts w:hint="eastAsia" w:ascii="宋体" w:hAnsi="宋体" w:eastAsia="宋体" w:cs="宋体"/>
                <w:color w:val="auto"/>
                <w:szCs w:val="21"/>
                <w:highlight w:val="none"/>
              </w:rPr>
            </w:pPr>
          </w:p>
        </w:tc>
      </w:tr>
      <w:tr w14:paraId="3F79FA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33" w:hRule="atLeast"/>
          <w:jc w:val="center"/>
        </w:trPr>
        <w:tc>
          <w:tcPr>
            <w:tcW w:w="9301" w:type="dxa"/>
            <w:gridSpan w:val="5"/>
            <w:tcBorders>
              <w:top w:val="single" w:color="000000" w:sz="4" w:space="0"/>
              <w:left w:val="single" w:color="000000" w:sz="8" w:space="0"/>
              <w:bottom w:val="single" w:color="000000" w:sz="8" w:space="0"/>
              <w:right w:val="single" w:color="000000" w:sz="8" w:space="0"/>
            </w:tcBorders>
            <w:shd w:val="clear" w:color="auto" w:fill="auto"/>
            <w:noWrap w:val="0"/>
            <w:tcMar>
              <w:top w:w="80" w:type="dxa"/>
              <w:left w:w="80" w:type="dxa"/>
              <w:bottom w:w="80" w:type="dxa"/>
              <w:right w:w="80" w:type="dxa"/>
            </w:tcMar>
            <w:vAlign w:val="center"/>
          </w:tcPr>
          <w:p w14:paraId="607050E9">
            <w:pPr>
              <w:shd w:val="clear" w:color="aut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TW" w:eastAsia="zh-TW"/>
              </w:rPr>
              <w:t>一旦我单位中标</w:t>
            </w:r>
            <w:r>
              <w:rPr>
                <w:rFonts w:hint="eastAsia" w:ascii="宋体" w:hAnsi="宋体" w:eastAsia="宋体" w:cs="宋体"/>
                <w:color w:val="auto"/>
                <w:szCs w:val="21"/>
                <w:highlight w:val="none"/>
                <w:lang w:val="zh-TW"/>
              </w:rPr>
              <w:t>，</w:t>
            </w:r>
            <w:r>
              <w:rPr>
                <w:rFonts w:hint="eastAsia" w:ascii="宋体" w:hAnsi="宋体" w:eastAsia="宋体" w:cs="宋体"/>
                <w:color w:val="auto"/>
                <w:szCs w:val="21"/>
                <w:highlight w:val="none"/>
                <w:lang w:val="zh-TW" w:eastAsia="zh-TW"/>
              </w:rPr>
              <w:t>将实行项目团队负责制，我方保证并配备上述团队。我方保证上述填报内容真实。</w:t>
            </w:r>
          </w:p>
        </w:tc>
      </w:tr>
    </w:tbl>
    <w:p w14:paraId="52DF04CE">
      <w:pPr>
        <w:shd w:val="clear" w:color="auto"/>
        <w:rPr>
          <w:rFonts w:hint="eastAsia" w:ascii="宋体" w:hAnsi="宋体" w:eastAsia="宋体" w:cs="宋体"/>
          <w:color w:val="auto"/>
          <w:szCs w:val="21"/>
          <w:highlight w:val="none"/>
        </w:rPr>
      </w:pPr>
    </w:p>
    <w:p w14:paraId="69254C3E">
      <w:pPr>
        <w:shd w:val="clear" w:color="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法定代表人或授权代表</w:t>
      </w:r>
      <w:r>
        <w:rPr>
          <w:rFonts w:hint="eastAsia" w:ascii="宋体" w:hAnsi="宋体"/>
          <w:color w:val="auto"/>
          <w:highlight w:val="none"/>
          <w:lang w:eastAsia="zh-CN"/>
        </w:rPr>
        <w:t>（</w:t>
      </w:r>
      <w:r>
        <w:rPr>
          <w:rFonts w:hint="eastAsia" w:ascii="宋体" w:hAnsi="宋体"/>
          <w:color w:val="auto"/>
          <w:highlight w:val="none"/>
        </w:rPr>
        <w:t>签字或盖章</w:t>
      </w:r>
      <w:r>
        <w:rPr>
          <w:rFonts w:hint="eastAsia" w:ascii="宋体" w:hAnsi="宋体"/>
          <w:color w:val="auto"/>
          <w:highlight w:val="none"/>
          <w:lang w:eastAsia="zh-CN"/>
        </w:rPr>
        <w:t>）</w:t>
      </w:r>
      <w:r>
        <w:rPr>
          <w:rFonts w:hint="eastAsia" w:ascii="宋体" w:hAnsi="宋体" w:eastAsia="宋体" w:cs="宋体"/>
          <w:color w:val="auto"/>
          <w:szCs w:val="21"/>
          <w:highlight w:val="none"/>
        </w:rPr>
        <w:t>：</w:t>
      </w:r>
    </w:p>
    <w:p w14:paraId="5E01E326">
      <w:pPr>
        <w:shd w:val="clear" w:color="auto"/>
        <w:spacing w:line="360" w:lineRule="auto"/>
        <w:jc w:val="right"/>
        <w:rPr>
          <w:rFonts w:hint="eastAsia" w:ascii="宋体" w:hAnsi="宋体" w:eastAsia="微软雅黑"/>
          <w:color w:val="auto"/>
          <w:szCs w:val="21"/>
          <w:highlight w:val="none"/>
          <w:u w:val="none"/>
        </w:rPr>
      </w:pPr>
      <w:r>
        <w:rPr>
          <w:rFonts w:hint="eastAsia" w:ascii="宋体" w:hAnsi="宋体"/>
          <w:color w:val="auto"/>
          <w:szCs w:val="21"/>
          <w:highlight w:val="none"/>
          <w:u w:val="none"/>
        </w:rPr>
        <w:t>日期：     年   月   日</w:t>
      </w:r>
    </w:p>
    <w:p w14:paraId="05E2EE0A">
      <w:pPr>
        <w:shd w:val="clear"/>
        <w:spacing w:afterLines="100" w:line="360" w:lineRule="auto"/>
        <w:jc w:val="center"/>
        <w:rPr>
          <w:rFonts w:ascii="宋体" w:hAnsi="宋体" w:cs="宋体"/>
          <w:color w:val="auto"/>
          <w:szCs w:val="21"/>
          <w:highlight w:val="none"/>
        </w:rPr>
      </w:pPr>
    </w:p>
    <w:p w14:paraId="5A51964F">
      <w:pPr>
        <w:shd w:val="clear"/>
        <w:rPr>
          <w:rFonts w:ascii="宋体" w:hAnsi="宋体" w:cs="宋体"/>
          <w:bCs/>
          <w:color w:val="auto"/>
          <w:sz w:val="24"/>
          <w:highlight w:val="none"/>
        </w:rPr>
      </w:pPr>
      <w:r>
        <w:rPr>
          <w:rFonts w:ascii="宋体" w:hAnsi="宋体" w:cs="宋体"/>
          <w:bCs/>
          <w:color w:val="auto"/>
          <w:sz w:val="24"/>
          <w:highlight w:val="none"/>
        </w:rPr>
        <w:br w:type="page"/>
      </w:r>
    </w:p>
    <w:p w14:paraId="3EFA7A7F">
      <w:pPr>
        <w:keepNext w:val="0"/>
        <w:keepLines w:val="0"/>
        <w:pageBreakBefore w:val="0"/>
        <w:widowControl w:val="0"/>
        <w:shd w:val="clear" w:color="auto"/>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技术参数响应及偏离表</w:t>
      </w:r>
    </w:p>
    <w:p w14:paraId="3FA69738">
      <w:pPr>
        <w:shd w:val="clear" w:color="auto"/>
        <w:spacing w:line="360" w:lineRule="auto"/>
        <w:rPr>
          <w:rFonts w:hint="eastAsia" w:ascii="宋体" w:hAnsi="宋体"/>
          <w:color w:val="auto"/>
          <w:szCs w:val="21"/>
          <w:highlight w:val="none"/>
        </w:rPr>
      </w:pPr>
      <w:r>
        <w:rPr>
          <w:rFonts w:hint="eastAsia" w:ascii="宋体" w:hAnsi="宋体"/>
          <w:color w:val="auto"/>
          <w:szCs w:val="21"/>
          <w:highlight w:val="none"/>
        </w:rPr>
        <w:t>投标人全称（加盖公章）：</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622"/>
        <w:gridCol w:w="2622"/>
        <w:gridCol w:w="1244"/>
        <w:gridCol w:w="1102"/>
      </w:tblGrid>
      <w:tr w14:paraId="5C64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73" w:type="dxa"/>
            <w:tcBorders>
              <w:top w:val="single" w:color="auto" w:sz="4" w:space="0"/>
              <w:left w:val="single" w:color="auto" w:sz="4" w:space="0"/>
              <w:bottom w:val="single" w:color="auto" w:sz="4" w:space="0"/>
              <w:right w:val="single" w:color="auto" w:sz="4" w:space="0"/>
            </w:tcBorders>
            <w:noWrap w:val="0"/>
            <w:vAlign w:val="center"/>
          </w:tcPr>
          <w:p w14:paraId="6A54F9AC">
            <w:pPr>
              <w:shd w:val="clear" w:color="auto"/>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序号</w:t>
            </w:r>
          </w:p>
        </w:tc>
        <w:tc>
          <w:tcPr>
            <w:tcW w:w="2622" w:type="dxa"/>
            <w:tcBorders>
              <w:top w:val="single" w:color="auto" w:sz="4" w:space="0"/>
              <w:left w:val="single" w:color="auto" w:sz="4" w:space="0"/>
              <w:bottom w:val="single" w:color="auto" w:sz="4" w:space="0"/>
              <w:right w:val="single" w:color="auto" w:sz="4" w:space="0"/>
            </w:tcBorders>
            <w:noWrap w:val="0"/>
            <w:vAlign w:val="center"/>
          </w:tcPr>
          <w:p w14:paraId="556141CF">
            <w:pPr>
              <w:shd w:val="clear" w:color="auto"/>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招标要求</w:t>
            </w:r>
          </w:p>
        </w:tc>
        <w:tc>
          <w:tcPr>
            <w:tcW w:w="2622" w:type="dxa"/>
            <w:tcBorders>
              <w:top w:val="single" w:color="auto" w:sz="4" w:space="0"/>
              <w:left w:val="single" w:color="auto" w:sz="4" w:space="0"/>
              <w:bottom w:val="single" w:color="auto" w:sz="4" w:space="0"/>
              <w:right w:val="single" w:color="auto" w:sz="4" w:space="0"/>
            </w:tcBorders>
            <w:noWrap w:val="0"/>
            <w:vAlign w:val="center"/>
          </w:tcPr>
          <w:p w14:paraId="3B57D05C">
            <w:pPr>
              <w:shd w:val="clear" w:color="auto"/>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投标响应</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0916B8BD">
            <w:pPr>
              <w:shd w:val="clear" w:color="auto"/>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超出、符合或偏离</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AB0875F">
            <w:pPr>
              <w:shd w:val="clear" w:color="auto"/>
              <w:adjustRightInd w:val="0"/>
              <w:snapToGrid w:val="0"/>
              <w:spacing w:after="200" w:line="220" w:lineRule="atLeast"/>
              <w:jc w:val="center"/>
              <w:rPr>
                <w:rFonts w:ascii="宋体" w:hAnsi="宋体"/>
                <w:color w:val="auto"/>
                <w:szCs w:val="21"/>
                <w:highlight w:val="none"/>
              </w:rPr>
            </w:pPr>
            <w:r>
              <w:rPr>
                <w:rFonts w:hint="eastAsia" w:ascii="宋体" w:hAnsi="宋体"/>
                <w:color w:val="auto"/>
                <w:szCs w:val="21"/>
                <w:highlight w:val="none"/>
              </w:rPr>
              <w:t>原因</w:t>
            </w:r>
          </w:p>
        </w:tc>
      </w:tr>
      <w:tr w14:paraId="0D02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973" w:type="dxa"/>
            <w:tcBorders>
              <w:top w:val="single" w:color="auto" w:sz="4" w:space="0"/>
              <w:left w:val="single" w:color="auto" w:sz="4" w:space="0"/>
              <w:bottom w:val="single" w:color="auto" w:sz="4" w:space="0"/>
              <w:right w:val="single" w:color="auto" w:sz="4" w:space="0"/>
            </w:tcBorders>
            <w:noWrap w:val="0"/>
            <w:vAlign w:val="top"/>
          </w:tcPr>
          <w:p w14:paraId="5198FD1E">
            <w:pPr>
              <w:shd w:val="clear" w:color="auto"/>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6D19FA68">
            <w:pPr>
              <w:shd w:val="clear" w:color="auto"/>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575C96B9">
            <w:pPr>
              <w:shd w:val="clear" w:color="auto"/>
              <w:adjustRightInd w:val="0"/>
              <w:snapToGrid w:val="0"/>
              <w:spacing w:after="200" w:line="220" w:lineRule="atLeast"/>
              <w:jc w:val="center"/>
              <w:rPr>
                <w:rFonts w:ascii="宋体" w:hAnsi="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0BFC806">
            <w:pPr>
              <w:shd w:val="clear" w:color="auto"/>
              <w:adjustRightInd w:val="0"/>
              <w:snapToGrid w:val="0"/>
              <w:spacing w:after="200" w:line="220" w:lineRule="atLeast"/>
              <w:jc w:val="center"/>
              <w:rPr>
                <w:rFonts w:ascii="宋体" w:hAnsi="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081EC075">
            <w:pPr>
              <w:shd w:val="clear" w:color="auto"/>
              <w:adjustRightInd w:val="0"/>
              <w:snapToGrid w:val="0"/>
              <w:spacing w:after="200" w:line="220" w:lineRule="atLeast"/>
              <w:jc w:val="center"/>
              <w:rPr>
                <w:rFonts w:ascii="宋体" w:hAnsi="宋体"/>
                <w:color w:val="auto"/>
                <w:sz w:val="24"/>
                <w:szCs w:val="24"/>
                <w:highlight w:val="none"/>
              </w:rPr>
            </w:pPr>
          </w:p>
        </w:tc>
      </w:tr>
      <w:tr w14:paraId="3225E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973" w:type="dxa"/>
            <w:tcBorders>
              <w:top w:val="single" w:color="auto" w:sz="4" w:space="0"/>
              <w:left w:val="single" w:color="auto" w:sz="4" w:space="0"/>
              <w:bottom w:val="single" w:color="auto" w:sz="4" w:space="0"/>
              <w:right w:val="single" w:color="auto" w:sz="4" w:space="0"/>
            </w:tcBorders>
            <w:noWrap w:val="0"/>
            <w:vAlign w:val="top"/>
          </w:tcPr>
          <w:p w14:paraId="7304BA3F">
            <w:pPr>
              <w:shd w:val="clear" w:color="auto"/>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16A6B4EA">
            <w:pPr>
              <w:shd w:val="clear" w:color="auto"/>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43EC4415">
            <w:pPr>
              <w:shd w:val="clear" w:color="auto"/>
              <w:adjustRightInd w:val="0"/>
              <w:snapToGrid w:val="0"/>
              <w:spacing w:after="200" w:line="220" w:lineRule="atLeast"/>
              <w:jc w:val="center"/>
              <w:rPr>
                <w:rFonts w:ascii="宋体" w:hAnsi="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4C074D75">
            <w:pPr>
              <w:shd w:val="clear" w:color="auto"/>
              <w:adjustRightInd w:val="0"/>
              <w:snapToGrid w:val="0"/>
              <w:spacing w:after="200" w:line="220" w:lineRule="atLeast"/>
              <w:jc w:val="center"/>
              <w:rPr>
                <w:rFonts w:ascii="宋体" w:hAnsi="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03D82796">
            <w:pPr>
              <w:shd w:val="clear" w:color="auto"/>
              <w:adjustRightInd w:val="0"/>
              <w:snapToGrid w:val="0"/>
              <w:spacing w:after="200" w:line="220" w:lineRule="atLeast"/>
              <w:jc w:val="center"/>
              <w:rPr>
                <w:rFonts w:ascii="宋体" w:hAnsi="宋体"/>
                <w:color w:val="auto"/>
                <w:sz w:val="24"/>
                <w:szCs w:val="24"/>
                <w:highlight w:val="none"/>
              </w:rPr>
            </w:pPr>
          </w:p>
        </w:tc>
      </w:tr>
      <w:tr w14:paraId="22DF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973" w:type="dxa"/>
            <w:tcBorders>
              <w:top w:val="single" w:color="auto" w:sz="4" w:space="0"/>
              <w:left w:val="single" w:color="auto" w:sz="4" w:space="0"/>
              <w:bottom w:val="single" w:color="auto" w:sz="4" w:space="0"/>
              <w:right w:val="single" w:color="auto" w:sz="4" w:space="0"/>
            </w:tcBorders>
            <w:noWrap w:val="0"/>
            <w:vAlign w:val="top"/>
          </w:tcPr>
          <w:p w14:paraId="482C6727">
            <w:pPr>
              <w:shd w:val="clear" w:color="auto"/>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6757E6EC">
            <w:pPr>
              <w:shd w:val="clear" w:color="auto"/>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62A79795">
            <w:pPr>
              <w:shd w:val="clear" w:color="auto"/>
              <w:adjustRightInd w:val="0"/>
              <w:snapToGrid w:val="0"/>
              <w:spacing w:after="200" w:line="220" w:lineRule="atLeast"/>
              <w:jc w:val="center"/>
              <w:rPr>
                <w:rFonts w:ascii="宋体" w:hAnsi="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3033DFF2">
            <w:pPr>
              <w:shd w:val="clear" w:color="auto"/>
              <w:adjustRightInd w:val="0"/>
              <w:snapToGrid w:val="0"/>
              <w:spacing w:after="200" w:line="220" w:lineRule="atLeast"/>
              <w:jc w:val="center"/>
              <w:rPr>
                <w:rFonts w:ascii="宋体" w:hAnsi="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60D5BA36">
            <w:pPr>
              <w:shd w:val="clear" w:color="auto"/>
              <w:adjustRightInd w:val="0"/>
              <w:snapToGrid w:val="0"/>
              <w:spacing w:after="200" w:line="220" w:lineRule="atLeast"/>
              <w:jc w:val="center"/>
              <w:rPr>
                <w:rFonts w:ascii="宋体" w:hAnsi="宋体"/>
                <w:color w:val="auto"/>
                <w:sz w:val="24"/>
                <w:szCs w:val="24"/>
                <w:highlight w:val="none"/>
              </w:rPr>
            </w:pPr>
          </w:p>
        </w:tc>
      </w:tr>
      <w:tr w14:paraId="7CD0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973" w:type="dxa"/>
            <w:tcBorders>
              <w:top w:val="single" w:color="auto" w:sz="4" w:space="0"/>
              <w:left w:val="single" w:color="auto" w:sz="4" w:space="0"/>
              <w:bottom w:val="single" w:color="auto" w:sz="4" w:space="0"/>
              <w:right w:val="single" w:color="auto" w:sz="4" w:space="0"/>
            </w:tcBorders>
            <w:noWrap w:val="0"/>
            <w:vAlign w:val="top"/>
          </w:tcPr>
          <w:p w14:paraId="68940F18">
            <w:pPr>
              <w:shd w:val="clear" w:color="auto"/>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50A2518C">
            <w:pPr>
              <w:shd w:val="clear" w:color="auto"/>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584C7261">
            <w:pPr>
              <w:shd w:val="clear" w:color="auto"/>
              <w:adjustRightInd w:val="0"/>
              <w:snapToGrid w:val="0"/>
              <w:spacing w:after="200" w:line="220" w:lineRule="atLeast"/>
              <w:jc w:val="center"/>
              <w:rPr>
                <w:rFonts w:ascii="宋体" w:hAnsi="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2F2E7153">
            <w:pPr>
              <w:shd w:val="clear" w:color="auto"/>
              <w:adjustRightInd w:val="0"/>
              <w:snapToGrid w:val="0"/>
              <w:spacing w:after="200" w:line="220" w:lineRule="atLeast"/>
              <w:jc w:val="center"/>
              <w:rPr>
                <w:rFonts w:ascii="宋体" w:hAnsi="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1D797869">
            <w:pPr>
              <w:shd w:val="clear" w:color="auto"/>
              <w:adjustRightInd w:val="0"/>
              <w:snapToGrid w:val="0"/>
              <w:spacing w:after="200" w:line="220" w:lineRule="atLeast"/>
              <w:jc w:val="center"/>
              <w:rPr>
                <w:rFonts w:ascii="宋体" w:hAnsi="宋体"/>
                <w:color w:val="auto"/>
                <w:sz w:val="24"/>
                <w:szCs w:val="24"/>
                <w:highlight w:val="none"/>
              </w:rPr>
            </w:pPr>
          </w:p>
        </w:tc>
      </w:tr>
      <w:tr w14:paraId="70DD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973" w:type="dxa"/>
            <w:tcBorders>
              <w:top w:val="single" w:color="auto" w:sz="4" w:space="0"/>
              <w:left w:val="single" w:color="auto" w:sz="4" w:space="0"/>
              <w:bottom w:val="single" w:color="auto" w:sz="4" w:space="0"/>
              <w:right w:val="single" w:color="auto" w:sz="4" w:space="0"/>
            </w:tcBorders>
            <w:noWrap w:val="0"/>
            <w:vAlign w:val="top"/>
          </w:tcPr>
          <w:p w14:paraId="31AB5CCA">
            <w:pPr>
              <w:shd w:val="clear" w:color="auto"/>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6AF0804A">
            <w:pPr>
              <w:shd w:val="clear" w:color="auto"/>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259DEDF2">
            <w:pPr>
              <w:shd w:val="clear" w:color="auto"/>
              <w:adjustRightInd w:val="0"/>
              <w:snapToGrid w:val="0"/>
              <w:spacing w:after="200" w:line="220" w:lineRule="atLeast"/>
              <w:jc w:val="center"/>
              <w:rPr>
                <w:rFonts w:ascii="宋体" w:hAnsi="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2E09C55C">
            <w:pPr>
              <w:shd w:val="clear" w:color="auto"/>
              <w:adjustRightInd w:val="0"/>
              <w:snapToGrid w:val="0"/>
              <w:spacing w:after="200" w:line="220" w:lineRule="atLeast"/>
              <w:jc w:val="center"/>
              <w:rPr>
                <w:rFonts w:ascii="宋体" w:hAnsi="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0CFC0C0E">
            <w:pPr>
              <w:shd w:val="clear" w:color="auto"/>
              <w:adjustRightInd w:val="0"/>
              <w:snapToGrid w:val="0"/>
              <w:spacing w:after="200" w:line="220" w:lineRule="atLeast"/>
              <w:jc w:val="center"/>
              <w:rPr>
                <w:rFonts w:ascii="宋体" w:hAnsi="宋体"/>
                <w:color w:val="auto"/>
                <w:sz w:val="24"/>
                <w:szCs w:val="24"/>
                <w:highlight w:val="none"/>
              </w:rPr>
            </w:pPr>
          </w:p>
        </w:tc>
      </w:tr>
      <w:tr w14:paraId="7C09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973" w:type="dxa"/>
            <w:tcBorders>
              <w:top w:val="single" w:color="auto" w:sz="4" w:space="0"/>
              <w:left w:val="single" w:color="auto" w:sz="4" w:space="0"/>
              <w:bottom w:val="single" w:color="auto" w:sz="4" w:space="0"/>
              <w:right w:val="single" w:color="auto" w:sz="4" w:space="0"/>
            </w:tcBorders>
            <w:noWrap w:val="0"/>
            <w:vAlign w:val="top"/>
          </w:tcPr>
          <w:p w14:paraId="2AEF6B74">
            <w:pPr>
              <w:shd w:val="clear" w:color="auto"/>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22F324E9">
            <w:pPr>
              <w:shd w:val="clear" w:color="auto"/>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5002EED9">
            <w:pPr>
              <w:shd w:val="clear" w:color="auto"/>
              <w:adjustRightInd w:val="0"/>
              <w:snapToGrid w:val="0"/>
              <w:spacing w:after="200" w:line="220" w:lineRule="atLeast"/>
              <w:jc w:val="center"/>
              <w:rPr>
                <w:rFonts w:ascii="宋体" w:hAnsi="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27C40F88">
            <w:pPr>
              <w:shd w:val="clear" w:color="auto"/>
              <w:adjustRightInd w:val="0"/>
              <w:snapToGrid w:val="0"/>
              <w:spacing w:after="200" w:line="220" w:lineRule="atLeast"/>
              <w:jc w:val="center"/>
              <w:rPr>
                <w:rFonts w:ascii="宋体" w:hAnsi="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7D7EF420">
            <w:pPr>
              <w:shd w:val="clear" w:color="auto"/>
              <w:adjustRightInd w:val="0"/>
              <w:snapToGrid w:val="0"/>
              <w:spacing w:after="200" w:line="220" w:lineRule="atLeast"/>
              <w:jc w:val="center"/>
              <w:rPr>
                <w:rFonts w:ascii="宋体" w:hAnsi="宋体"/>
                <w:color w:val="auto"/>
                <w:sz w:val="24"/>
                <w:szCs w:val="24"/>
                <w:highlight w:val="none"/>
              </w:rPr>
            </w:pPr>
          </w:p>
        </w:tc>
      </w:tr>
      <w:tr w14:paraId="16C2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973" w:type="dxa"/>
            <w:tcBorders>
              <w:top w:val="single" w:color="auto" w:sz="4" w:space="0"/>
              <w:left w:val="single" w:color="auto" w:sz="4" w:space="0"/>
              <w:bottom w:val="single" w:color="auto" w:sz="4" w:space="0"/>
              <w:right w:val="single" w:color="auto" w:sz="4" w:space="0"/>
            </w:tcBorders>
            <w:noWrap w:val="0"/>
            <w:vAlign w:val="top"/>
          </w:tcPr>
          <w:p w14:paraId="75DE6178">
            <w:pPr>
              <w:shd w:val="clear" w:color="auto"/>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64B20495">
            <w:pPr>
              <w:shd w:val="clear" w:color="auto"/>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158589A8">
            <w:pPr>
              <w:shd w:val="clear" w:color="auto"/>
              <w:adjustRightInd w:val="0"/>
              <w:snapToGrid w:val="0"/>
              <w:spacing w:after="200" w:line="220" w:lineRule="atLeast"/>
              <w:jc w:val="center"/>
              <w:rPr>
                <w:rFonts w:ascii="宋体" w:hAnsi="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19FF2B31">
            <w:pPr>
              <w:shd w:val="clear" w:color="auto"/>
              <w:adjustRightInd w:val="0"/>
              <w:snapToGrid w:val="0"/>
              <w:spacing w:after="200" w:line="220" w:lineRule="atLeast"/>
              <w:jc w:val="center"/>
              <w:rPr>
                <w:rFonts w:ascii="宋体" w:hAnsi="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44F84391">
            <w:pPr>
              <w:shd w:val="clear" w:color="auto"/>
              <w:adjustRightInd w:val="0"/>
              <w:snapToGrid w:val="0"/>
              <w:spacing w:after="200" w:line="220" w:lineRule="atLeast"/>
              <w:jc w:val="center"/>
              <w:rPr>
                <w:rFonts w:ascii="宋体" w:hAnsi="宋体"/>
                <w:color w:val="auto"/>
                <w:sz w:val="24"/>
                <w:szCs w:val="24"/>
                <w:highlight w:val="none"/>
              </w:rPr>
            </w:pPr>
          </w:p>
        </w:tc>
      </w:tr>
      <w:tr w14:paraId="2DB2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1973" w:type="dxa"/>
            <w:tcBorders>
              <w:top w:val="single" w:color="auto" w:sz="4" w:space="0"/>
              <w:left w:val="single" w:color="auto" w:sz="4" w:space="0"/>
              <w:bottom w:val="single" w:color="auto" w:sz="4" w:space="0"/>
              <w:right w:val="single" w:color="auto" w:sz="4" w:space="0"/>
            </w:tcBorders>
            <w:noWrap w:val="0"/>
            <w:vAlign w:val="top"/>
          </w:tcPr>
          <w:p w14:paraId="6F157A5B">
            <w:pPr>
              <w:shd w:val="clear" w:color="auto"/>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0B1F14BB">
            <w:pPr>
              <w:shd w:val="clear" w:color="auto"/>
              <w:adjustRightInd w:val="0"/>
              <w:snapToGrid w:val="0"/>
              <w:spacing w:after="200" w:line="220" w:lineRule="atLeast"/>
              <w:jc w:val="center"/>
              <w:rPr>
                <w:rFonts w:ascii="宋体" w:hAnsi="宋体"/>
                <w:color w:val="auto"/>
                <w:sz w:val="24"/>
                <w:szCs w:val="24"/>
                <w:highlight w:val="none"/>
              </w:rPr>
            </w:pPr>
          </w:p>
        </w:tc>
        <w:tc>
          <w:tcPr>
            <w:tcW w:w="2622" w:type="dxa"/>
            <w:tcBorders>
              <w:top w:val="single" w:color="auto" w:sz="4" w:space="0"/>
              <w:left w:val="single" w:color="auto" w:sz="4" w:space="0"/>
              <w:bottom w:val="single" w:color="auto" w:sz="4" w:space="0"/>
              <w:right w:val="single" w:color="auto" w:sz="4" w:space="0"/>
            </w:tcBorders>
            <w:noWrap w:val="0"/>
            <w:vAlign w:val="top"/>
          </w:tcPr>
          <w:p w14:paraId="077C8C41">
            <w:pPr>
              <w:shd w:val="clear" w:color="auto"/>
              <w:adjustRightInd w:val="0"/>
              <w:snapToGrid w:val="0"/>
              <w:spacing w:after="200" w:line="220" w:lineRule="atLeast"/>
              <w:jc w:val="center"/>
              <w:rPr>
                <w:rFonts w:ascii="宋体" w:hAnsi="宋体"/>
                <w:color w:val="auto"/>
                <w:sz w:val="24"/>
                <w:szCs w:val="24"/>
                <w:highlight w:val="none"/>
              </w:rPr>
            </w:pPr>
          </w:p>
        </w:tc>
        <w:tc>
          <w:tcPr>
            <w:tcW w:w="1244" w:type="dxa"/>
            <w:tcBorders>
              <w:top w:val="single" w:color="auto" w:sz="4" w:space="0"/>
              <w:left w:val="single" w:color="auto" w:sz="4" w:space="0"/>
              <w:bottom w:val="single" w:color="auto" w:sz="4" w:space="0"/>
              <w:right w:val="single" w:color="auto" w:sz="4" w:space="0"/>
            </w:tcBorders>
            <w:noWrap w:val="0"/>
            <w:vAlign w:val="top"/>
          </w:tcPr>
          <w:p w14:paraId="5BF57FF2">
            <w:pPr>
              <w:shd w:val="clear" w:color="auto"/>
              <w:adjustRightInd w:val="0"/>
              <w:snapToGrid w:val="0"/>
              <w:spacing w:after="200" w:line="220" w:lineRule="atLeast"/>
              <w:jc w:val="center"/>
              <w:rPr>
                <w:rFonts w:ascii="宋体" w:hAnsi="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noWrap w:val="0"/>
            <w:vAlign w:val="top"/>
          </w:tcPr>
          <w:p w14:paraId="40A2EB1E">
            <w:pPr>
              <w:shd w:val="clear" w:color="auto"/>
              <w:adjustRightInd w:val="0"/>
              <w:snapToGrid w:val="0"/>
              <w:spacing w:after="200" w:line="220" w:lineRule="atLeast"/>
              <w:jc w:val="center"/>
              <w:rPr>
                <w:rFonts w:ascii="宋体" w:hAnsi="宋体"/>
                <w:color w:val="auto"/>
                <w:sz w:val="24"/>
                <w:szCs w:val="24"/>
                <w:highlight w:val="none"/>
              </w:rPr>
            </w:pPr>
          </w:p>
        </w:tc>
      </w:tr>
    </w:tbl>
    <w:p w14:paraId="542C1969">
      <w:pPr>
        <w:shd w:val="clear" w:color="auto"/>
        <w:rPr>
          <w:rFonts w:hint="eastAsia" w:ascii="宋体" w:hAnsi="宋体"/>
          <w:color w:val="auto"/>
          <w:szCs w:val="21"/>
          <w:highlight w:val="none"/>
        </w:rPr>
      </w:pPr>
    </w:p>
    <w:p w14:paraId="38DE2A45">
      <w:pPr>
        <w:shd w:val="clear" w:color="auto"/>
        <w:spacing w:line="360" w:lineRule="auto"/>
        <w:rPr>
          <w:rFonts w:ascii="宋体" w:hAnsi="宋体"/>
          <w:color w:val="auto"/>
          <w:szCs w:val="21"/>
          <w:highlight w:val="none"/>
        </w:rPr>
      </w:pPr>
      <w:r>
        <w:rPr>
          <w:rFonts w:hint="eastAsia" w:ascii="宋体" w:hAnsi="宋体"/>
          <w:color w:val="auto"/>
          <w:szCs w:val="21"/>
          <w:highlight w:val="none"/>
        </w:rPr>
        <w:t>法定代表人或授权代表</w:t>
      </w:r>
      <w:r>
        <w:rPr>
          <w:rFonts w:hint="eastAsia" w:ascii="宋体" w:hAnsi="宋体"/>
          <w:color w:val="auto"/>
          <w:highlight w:val="none"/>
          <w:lang w:eastAsia="zh-CN"/>
        </w:rPr>
        <w:t>（</w:t>
      </w:r>
      <w:r>
        <w:rPr>
          <w:rFonts w:hint="eastAsia" w:ascii="宋体" w:hAnsi="宋体"/>
          <w:color w:val="auto"/>
          <w:highlight w:val="none"/>
        </w:rPr>
        <w:t>签字或盖章</w:t>
      </w:r>
      <w:r>
        <w:rPr>
          <w:rFonts w:hint="eastAsia" w:ascii="宋体" w:hAnsi="宋体"/>
          <w:color w:val="auto"/>
          <w:highlight w:val="none"/>
          <w:lang w:eastAsia="zh-CN"/>
        </w:rPr>
        <w:t>）</w:t>
      </w:r>
      <w:r>
        <w:rPr>
          <w:rFonts w:hint="eastAsia" w:ascii="宋体" w:hAnsi="宋体"/>
          <w:color w:val="auto"/>
          <w:szCs w:val="21"/>
          <w:highlight w:val="none"/>
        </w:rPr>
        <w:t>：</w:t>
      </w:r>
    </w:p>
    <w:p w14:paraId="6E5C9C38">
      <w:pPr>
        <w:shd w:val="clear" w:color="auto"/>
        <w:spacing w:line="360" w:lineRule="auto"/>
        <w:jc w:val="right"/>
        <w:rPr>
          <w:rFonts w:hint="eastAsia" w:ascii="宋体" w:hAnsi="宋体" w:eastAsia="微软雅黑"/>
          <w:color w:val="auto"/>
          <w:szCs w:val="21"/>
          <w:highlight w:val="none"/>
          <w:u w:val="none"/>
        </w:rPr>
      </w:pPr>
      <w:r>
        <w:rPr>
          <w:rFonts w:hint="eastAsia" w:ascii="宋体" w:hAnsi="宋体"/>
          <w:color w:val="auto"/>
          <w:szCs w:val="21"/>
          <w:highlight w:val="none"/>
          <w:u w:val="none"/>
        </w:rPr>
        <w:t>日期：     年   月   日</w:t>
      </w:r>
    </w:p>
    <w:p w14:paraId="2F7D9AB0">
      <w:pPr>
        <w:shd w:val="clear" w:color="auto"/>
        <w:rPr>
          <w:rFonts w:hint="eastAsia" w:ascii="宋体" w:hAnsi="宋体"/>
          <w:color w:val="auto"/>
          <w:kern w:val="0"/>
          <w:szCs w:val="21"/>
          <w:highlight w:val="none"/>
        </w:rPr>
      </w:pPr>
    </w:p>
    <w:p w14:paraId="1F9D0265">
      <w:pPr>
        <w:shd w:val="clear" w:color="auto"/>
        <w:rPr>
          <w:rFonts w:hint="eastAsia" w:ascii="宋体" w:hAnsi="宋体"/>
          <w:color w:val="auto"/>
          <w:szCs w:val="21"/>
          <w:highlight w:val="none"/>
        </w:rPr>
      </w:pPr>
    </w:p>
    <w:p w14:paraId="777E9B08">
      <w:pPr>
        <w:shd w:val="clear" w:color="auto"/>
        <w:rPr>
          <w:rFonts w:hint="eastAsia" w:ascii="宋体" w:hAnsi="宋体"/>
          <w:color w:val="auto"/>
          <w:szCs w:val="21"/>
          <w:highlight w:val="none"/>
        </w:rPr>
      </w:pPr>
      <w:r>
        <w:rPr>
          <w:rFonts w:hint="eastAsia" w:ascii="宋体" w:hAnsi="宋体"/>
          <w:color w:val="auto"/>
          <w:szCs w:val="21"/>
          <w:highlight w:val="none"/>
        </w:rPr>
        <w:t>注：1、按照基本技术要求详细填列。</w:t>
      </w:r>
    </w:p>
    <w:p w14:paraId="3AA751FD">
      <w:pPr>
        <w:shd w:val="clear" w:color="auto"/>
        <w:ind w:firstLine="420" w:firstLineChars="200"/>
        <w:rPr>
          <w:rFonts w:hint="eastAsia" w:ascii="宋体" w:hAnsi="宋体"/>
          <w:color w:val="auto"/>
          <w:szCs w:val="21"/>
          <w:highlight w:val="none"/>
        </w:rPr>
      </w:pPr>
      <w:r>
        <w:rPr>
          <w:rFonts w:hint="eastAsia" w:ascii="宋体" w:hAnsi="宋体"/>
          <w:color w:val="auto"/>
          <w:szCs w:val="21"/>
          <w:highlight w:val="none"/>
        </w:rPr>
        <w:t>2、行数不够，可自行添加。</w:t>
      </w:r>
    </w:p>
    <w:p w14:paraId="33D5A578">
      <w:pPr>
        <w:shd w:val="clear"/>
        <w:spacing w:line="460" w:lineRule="exact"/>
        <w:rPr>
          <w:rFonts w:ascii="宋体" w:hAnsi="宋体" w:cs="宋体"/>
          <w:bCs/>
          <w:color w:val="auto"/>
          <w:sz w:val="24"/>
          <w:highlight w:val="none"/>
        </w:rPr>
      </w:pPr>
    </w:p>
    <w:p w14:paraId="1BC9A6CA">
      <w:pPr>
        <w:shd w:val="clear"/>
        <w:spacing w:afterLines="100" w:line="360" w:lineRule="auto"/>
        <w:jc w:val="center"/>
        <w:rPr>
          <w:rFonts w:ascii="宋体" w:hAnsi="宋体" w:cs="宋体"/>
          <w:b/>
          <w:color w:val="auto"/>
          <w:szCs w:val="21"/>
          <w:highlight w:val="none"/>
        </w:rPr>
      </w:pPr>
      <w:r>
        <w:rPr>
          <w:rFonts w:hint="eastAsia" w:ascii="宋体" w:hAnsi="宋体" w:cs="宋体"/>
          <w:b/>
          <w:color w:val="auto"/>
          <w:sz w:val="32"/>
          <w:szCs w:val="32"/>
          <w:highlight w:val="none"/>
        </w:rPr>
        <w:br w:type="page"/>
      </w:r>
      <w:r>
        <w:rPr>
          <w:rFonts w:hint="eastAsia" w:ascii="宋体" w:hAnsi="宋体" w:cs="宋体"/>
          <w:b/>
          <w:color w:val="auto"/>
          <w:szCs w:val="21"/>
          <w:highlight w:val="none"/>
          <w:lang w:val="en-US" w:eastAsia="zh-CN"/>
        </w:rPr>
        <w:t>七</w:t>
      </w:r>
      <w:r>
        <w:rPr>
          <w:rFonts w:hint="eastAsia" w:ascii="宋体" w:hAnsi="宋体" w:cs="宋体"/>
          <w:b/>
          <w:color w:val="auto"/>
          <w:szCs w:val="21"/>
          <w:highlight w:val="none"/>
        </w:rPr>
        <w:t>、商务条款响应及偏离表</w:t>
      </w:r>
    </w:p>
    <w:p w14:paraId="00646C27">
      <w:pPr>
        <w:shd w:val="clear"/>
        <w:spacing w:afterLines="100" w:line="360" w:lineRule="auto"/>
        <w:rPr>
          <w:rFonts w:ascii="宋体" w:hAnsi="宋体" w:cs="宋体"/>
          <w:color w:val="auto"/>
          <w:szCs w:val="21"/>
          <w:highlight w:val="none"/>
        </w:rPr>
      </w:pPr>
      <w:r>
        <w:rPr>
          <w:rFonts w:hint="eastAsia" w:ascii="宋体" w:hAnsi="宋体" w:cs="宋体"/>
          <w:color w:val="auto"/>
          <w:szCs w:val="21"/>
          <w:highlight w:val="none"/>
        </w:rPr>
        <w:t>投标人全称（加盖公章）：</w:t>
      </w:r>
    </w:p>
    <w:tbl>
      <w:tblPr>
        <w:tblStyle w:val="3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65"/>
        <w:gridCol w:w="3081"/>
        <w:gridCol w:w="1436"/>
        <w:gridCol w:w="3444"/>
      </w:tblGrid>
      <w:tr w14:paraId="31713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7ECD1B31">
            <w:pPr>
              <w:shd w:val="clear"/>
              <w:adjustRightInd w:val="0"/>
              <w:snapToGrid w:val="0"/>
              <w:spacing w:beforeLines="50" w:after="200" w:line="220" w:lineRule="atLeas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583" w:type="pct"/>
            <w:tcBorders>
              <w:top w:val="single" w:color="auto" w:sz="4" w:space="0"/>
              <w:left w:val="single" w:color="auto" w:sz="4" w:space="0"/>
              <w:bottom w:val="single" w:color="auto" w:sz="4" w:space="0"/>
              <w:right w:val="single" w:color="auto" w:sz="4" w:space="0"/>
            </w:tcBorders>
            <w:vAlign w:val="center"/>
          </w:tcPr>
          <w:p w14:paraId="7A28E388">
            <w:pPr>
              <w:shd w:val="clear"/>
              <w:adjustRightInd w:val="0"/>
              <w:snapToGrid w:val="0"/>
              <w:spacing w:beforeLines="50" w:after="200" w:line="220" w:lineRule="atLeast"/>
              <w:jc w:val="center"/>
              <w:rPr>
                <w:rFonts w:ascii="宋体" w:hAnsi="宋体" w:cs="宋体"/>
                <w:color w:val="auto"/>
                <w:szCs w:val="21"/>
                <w:highlight w:val="none"/>
              </w:rPr>
            </w:pPr>
            <w:r>
              <w:rPr>
                <w:rFonts w:hint="eastAsia" w:ascii="宋体" w:hAnsi="宋体" w:cs="宋体"/>
                <w:color w:val="auto"/>
                <w:szCs w:val="21"/>
                <w:highlight w:val="none"/>
              </w:rPr>
              <w:t>招标文件要求</w:t>
            </w:r>
          </w:p>
        </w:tc>
        <w:tc>
          <w:tcPr>
            <w:tcW w:w="738" w:type="pct"/>
            <w:tcBorders>
              <w:top w:val="single" w:color="auto" w:sz="4" w:space="0"/>
              <w:left w:val="single" w:color="auto" w:sz="4" w:space="0"/>
              <w:bottom w:val="single" w:color="auto" w:sz="4" w:space="0"/>
              <w:right w:val="single" w:color="auto" w:sz="4" w:space="0"/>
            </w:tcBorders>
            <w:vAlign w:val="center"/>
          </w:tcPr>
          <w:p w14:paraId="2CE0E8B1">
            <w:pPr>
              <w:shd w:val="clear"/>
              <w:adjustRightInd w:val="0"/>
              <w:snapToGrid w:val="0"/>
              <w:spacing w:beforeLines="50" w:after="200" w:line="220" w:lineRule="atLeast"/>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770" w:type="pct"/>
            <w:tcBorders>
              <w:top w:val="single" w:color="auto" w:sz="4" w:space="0"/>
              <w:left w:val="single" w:color="auto" w:sz="4" w:space="0"/>
              <w:bottom w:val="single" w:color="auto" w:sz="4" w:space="0"/>
              <w:right w:val="single" w:color="auto" w:sz="4" w:space="0"/>
            </w:tcBorders>
            <w:vAlign w:val="center"/>
          </w:tcPr>
          <w:p w14:paraId="2957DB94">
            <w:pPr>
              <w:shd w:val="clear"/>
              <w:adjustRightInd w:val="0"/>
              <w:snapToGrid w:val="0"/>
              <w:spacing w:beforeLines="50" w:after="200" w:line="220" w:lineRule="atLeast"/>
              <w:jc w:val="center"/>
              <w:rPr>
                <w:rFonts w:ascii="宋体" w:hAnsi="宋体" w:cs="宋体"/>
                <w:color w:val="auto"/>
                <w:szCs w:val="21"/>
                <w:highlight w:val="none"/>
              </w:rPr>
            </w:pPr>
            <w:r>
              <w:rPr>
                <w:rFonts w:hint="eastAsia" w:ascii="宋体" w:hAnsi="宋体" w:cs="宋体"/>
                <w:color w:val="auto"/>
                <w:szCs w:val="21"/>
                <w:highlight w:val="none"/>
              </w:rPr>
              <w:t>投标人的承诺或说明</w:t>
            </w:r>
          </w:p>
        </w:tc>
      </w:tr>
      <w:tr w14:paraId="0C895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2D119576">
            <w:pPr>
              <w:shd w:val="clear" w:color="auto"/>
              <w:adjustRightInd w:val="0"/>
              <w:snapToGrid w:val="0"/>
              <w:spacing w:before="156" w:beforeLines="50" w:after="200" w:line="220" w:lineRule="atLeast"/>
              <w:jc w:val="center"/>
              <w:rPr>
                <w:rFonts w:ascii="宋体" w:hAnsi="宋体" w:cs="宋体"/>
                <w:color w:val="auto"/>
                <w:szCs w:val="21"/>
                <w:highlight w:val="none"/>
              </w:rPr>
            </w:pPr>
            <w:r>
              <w:rPr>
                <w:rFonts w:hint="eastAsia" w:ascii="仿宋_GB2312"/>
                <w:color w:val="auto"/>
                <w:szCs w:val="21"/>
                <w:highlight w:val="none"/>
              </w:rPr>
              <w:t>服务期限</w:t>
            </w:r>
          </w:p>
        </w:tc>
        <w:tc>
          <w:tcPr>
            <w:tcW w:w="1583" w:type="pct"/>
            <w:tcBorders>
              <w:top w:val="single" w:color="auto" w:sz="4" w:space="0"/>
              <w:left w:val="single" w:color="auto" w:sz="4" w:space="0"/>
              <w:bottom w:val="single" w:color="auto" w:sz="4" w:space="0"/>
              <w:right w:val="single" w:color="auto" w:sz="4" w:space="0"/>
            </w:tcBorders>
            <w:vAlign w:val="center"/>
          </w:tcPr>
          <w:p w14:paraId="29F057E0">
            <w:pPr>
              <w:shd w:val="clear"/>
              <w:adjustRightInd w:val="0"/>
              <w:snapToGrid w:val="0"/>
              <w:spacing w:beforeLines="50" w:after="200" w:line="220" w:lineRule="atLeast"/>
              <w:jc w:val="center"/>
              <w:rPr>
                <w:rFonts w:ascii="宋体" w:hAnsi="宋体"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3E8FC420">
            <w:pPr>
              <w:shd w:val="clear"/>
              <w:adjustRightInd w:val="0"/>
              <w:snapToGrid w:val="0"/>
              <w:spacing w:beforeLines="50" w:after="200" w:line="220" w:lineRule="atLeast"/>
              <w:jc w:val="center"/>
              <w:rPr>
                <w:rFonts w:ascii="宋体" w:hAnsi="宋体"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vAlign w:val="center"/>
          </w:tcPr>
          <w:p w14:paraId="7C9F3687">
            <w:pPr>
              <w:shd w:val="clear"/>
              <w:adjustRightInd w:val="0"/>
              <w:snapToGrid w:val="0"/>
              <w:spacing w:beforeLines="50" w:after="200" w:line="220" w:lineRule="atLeast"/>
              <w:jc w:val="center"/>
              <w:rPr>
                <w:rFonts w:ascii="宋体" w:hAnsi="宋体" w:cs="宋体"/>
                <w:color w:val="auto"/>
                <w:szCs w:val="21"/>
                <w:highlight w:val="none"/>
              </w:rPr>
            </w:pPr>
          </w:p>
        </w:tc>
      </w:tr>
      <w:tr w14:paraId="273D4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430C2AA6">
            <w:pPr>
              <w:shd w:val="clear" w:color="auto"/>
              <w:adjustRightInd w:val="0"/>
              <w:snapToGrid w:val="0"/>
              <w:spacing w:before="156" w:beforeLines="50" w:after="200" w:line="220" w:lineRule="atLeast"/>
              <w:jc w:val="center"/>
              <w:rPr>
                <w:rFonts w:ascii="宋体" w:hAnsi="宋体" w:cs="宋体"/>
                <w:color w:val="auto"/>
                <w:szCs w:val="21"/>
                <w:highlight w:val="none"/>
              </w:rPr>
            </w:pPr>
            <w:r>
              <w:rPr>
                <w:rFonts w:hint="eastAsia" w:ascii="仿宋_GB2312"/>
                <w:color w:val="auto"/>
                <w:szCs w:val="21"/>
                <w:highlight w:val="none"/>
              </w:rPr>
              <w:t>服务要求</w:t>
            </w:r>
          </w:p>
        </w:tc>
        <w:tc>
          <w:tcPr>
            <w:tcW w:w="1583" w:type="pct"/>
            <w:tcBorders>
              <w:top w:val="single" w:color="auto" w:sz="4" w:space="0"/>
              <w:left w:val="single" w:color="auto" w:sz="4" w:space="0"/>
              <w:bottom w:val="single" w:color="auto" w:sz="4" w:space="0"/>
              <w:right w:val="single" w:color="auto" w:sz="4" w:space="0"/>
            </w:tcBorders>
            <w:vAlign w:val="center"/>
          </w:tcPr>
          <w:p w14:paraId="2F39248A">
            <w:pPr>
              <w:shd w:val="clear"/>
              <w:adjustRightInd w:val="0"/>
              <w:snapToGrid w:val="0"/>
              <w:spacing w:beforeLines="50" w:after="200" w:line="220" w:lineRule="atLeast"/>
              <w:jc w:val="center"/>
              <w:rPr>
                <w:rFonts w:ascii="宋体" w:hAnsi="宋体"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7E0BD585">
            <w:pPr>
              <w:shd w:val="clear"/>
              <w:adjustRightInd w:val="0"/>
              <w:snapToGrid w:val="0"/>
              <w:spacing w:beforeLines="50" w:after="200" w:line="220" w:lineRule="atLeast"/>
              <w:jc w:val="center"/>
              <w:rPr>
                <w:rFonts w:ascii="宋体" w:hAnsi="宋体"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vAlign w:val="center"/>
          </w:tcPr>
          <w:p w14:paraId="497C4125">
            <w:pPr>
              <w:shd w:val="clear"/>
              <w:adjustRightInd w:val="0"/>
              <w:snapToGrid w:val="0"/>
              <w:spacing w:beforeLines="50" w:after="200" w:line="220" w:lineRule="atLeast"/>
              <w:jc w:val="center"/>
              <w:rPr>
                <w:rFonts w:ascii="宋体" w:hAnsi="宋体" w:cs="宋体"/>
                <w:color w:val="auto"/>
                <w:szCs w:val="21"/>
                <w:highlight w:val="none"/>
              </w:rPr>
            </w:pPr>
          </w:p>
        </w:tc>
      </w:tr>
      <w:tr w14:paraId="7BE17A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7E12CF90">
            <w:pPr>
              <w:shd w:val="clear" w:color="auto"/>
              <w:adjustRightInd w:val="0"/>
              <w:snapToGrid w:val="0"/>
              <w:spacing w:before="156" w:beforeLines="50" w:after="200" w:line="220" w:lineRule="atLeast"/>
              <w:jc w:val="center"/>
              <w:rPr>
                <w:rFonts w:ascii="宋体" w:hAnsi="宋体" w:cs="宋体"/>
                <w:color w:val="auto"/>
                <w:szCs w:val="21"/>
                <w:highlight w:val="none"/>
              </w:rPr>
            </w:pPr>
            <w:r>
              <w:rPr>
                <w:rFonts w:hint="eastAsia" w:ascii="仿宋_GB2312"/>
                <w:color w:val="auto"/>
                <w:szCs w:val="21"/>
                <w:highlight w:val="none"/>
              </w:rPr>
              <w:t>服务地点</w:t>
            </w:r>
          </w:p>
        </w:tc>
        <w:tc>
          <w:tcPr>
            <w:tcW w:w="1583" w:type="pct"/>
            <w:tcBorders>
              <w:top w:val="single" w:color="auto" w:sz="4" w:space="0"/>
              <w:left w:val="single" w:color="auto" w:sz="4" w:space="0"/>
              <w:bottom w:val="single" w:color="auto" w:sz="4" w:space="0"/>
              <w:right w:val="single" w:color="auto" w:sz="4" w:space="0"/>
            </w:tcBorders>
            <w:vAlign w:val="center"/>
          </w:tcPr>
          <w:p w14:paraId="2F7C8291">
            <w:pPr>
              <w:shd w:val="clear"/>
              <w:spacing w:beforeLines="50" w:line="220" w:lineRule="atLeast"/>
              <w:jc w:val="center"/>
              <w:rPr>
                <w:rFonts w:ascii="宋体" w:hAnsi="宋体" w:cs="宋体"/>
                <w:color w:val="auto"/>
                <w:szCs w:val="21"/>
                <w:highlight w:val="none"/>
              </w:rPr>
            </w:pPr>
          </w:p>
          <w:p w14:paraId="5E52E9AD">
            <w:pPr>
              <w:shd w:val="clear"/>
              <w:adjustRightInd w:val="0"/>
              <w:snapToGrid w:val="0"/>
              <w:spacing w:beforeLines="50" w:after="200" w:line="220" w:lineRule="atLeast"/>
              <w:jc w:val="center"/>
              <w:rPr>
                <w:rFonts w:ascii="宋体" w:hAnsi="宋体"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343CEB36">
            <w:pPr>
              <w:shd w:val="clear"/>
              <w:adjustRightInd w:val="0"/>
              <w:snapToGrid w:val="0"/>
              <w:spacing w:beforeLines="50" w:after="200" w:line="220" w:lineRule="atLeast"/>
              <w:ind w:left="43"/>
              <w:jc w:val="center"/>
              <w:rPr>
                <w:rFonts w:ascii="宋体" w:hAnsi="宋体"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vAlign w:val="center"/>
          </w:tcPr>
          <w:p w14:paraId="1A6E62EF">
            <w:pPr>
              <w:shd w:val="clear"/>
              <w:adjustRightInd w:val="0"/>
              <w:snapToGrid w:val="0"/>
              <w:spacing w:beforeLines="50" w:after="200" w:line="220" w:lineRule="atLeast"/>
              <w:ind w:left="43"/>
              <w:jc w:val="center"/>
              <w:rPr>
                <w:rFonts w:ascii="宋体" w:hAnsi="宋体" w:cs="宋体"/>
                <w:color w:val="auto"/>
                <w:szCs w:val="21"/>
                <w:highlight w:val="none"/>
              </w:rPr>
            </w:pPr>
          </w:p>
        </w:tc>
      </w:tr>
      <w:tr w14:paraId="23F1F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326153DE">
            <w:pPr>
              <w:shd w:val="clear" w:color="auto"/>
              <w:adjustRightInd w:val="0"/>
              <w:snapToGrid w:val="0"/>
              <w:spacing w:before="156" w:beforeLines="50" w:after="200" w:line="220" w:lineRule="atLeast"/>
              <w:jc w:val="center"/>
              <w:rPr>
                <w:rFonts w:ascii="宋体" w:hAnsi="宋体" w:cs="宋体"/>
                <w:color w:val="auto"/>
                <w:szCs w:val="21"/>
                <w:highlight w:val="none"/>
              </w:rPr>
            </w:pPr>
            <w:r>
              <w:rPr>
                <w:rFonts w:hint="eastAsia" w:ascii="仿宋_GB2312" w:hAnsi="宋体"/>
                <w:color w:val="auto"/>
                <w:szCs w:val="21"/>
                <w:highlight w:val="none"/>
              </w:rPr>
              <w:t>付款方式</w:t>
            </w:r>
          </w:p>
        </w:tc>
        <w:tc>
          <w:tcPr>
            <w:tcW w:w="1583" w:type="pct"/>
            <w:tcBorders>
              <w:top w:val="single" w:color="auto" w:sz="4" w:space="0"/>
              <w:left w:val="single" w:color="auto" w:sz="4" w:space="0"/>
              <w:bottom w:val="single" w:color="auto" w:sz="4" w:space="0"/>
              <w:right w:val="single" w:color="auto" w:sz="4" w:space="0"/>
            </w:tcBorders>
            <w:vAlign w:val="center"/>
          </w:tcPr>
          <w:p w14:paraId="268186CA">
            <w:pPr>
              <w:shd w:val="clear"/>
              <w:adjustRightInd w:val="0"/>
              <w:snapToGrid w:val="0"/>
              <w:spacing w:beforeLines="50" w:after="200" w:line="220" w:lineRule="atLeast"/>
              <w:jc w:val="center"/>
              <w:rPr>
                <w:rFonts w:ascii="宋体" w:hAnsi="宋体" w:cs="宋体"/>
                <w:color w:val="auto"/>
                <w:sz w:val="24"/>
                <w:szCs w:val="20"/>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38E29D0F">
            <w:pPr>
              <w:shd w:val="clear"/>
              <w:adjustRightInd w:val="0"/>
              <w:snapToGrid w:val="0"/>
              <w:spacing w:beforeLines="50" w:after="200" w:line="220" w:lineRule="atLeast"/>
              <w:jc w:val="center"/>
              <w:rPr>
                <w:rFonts w:ascii="宋体" w:hAnsi="宋体" w:cs="宋体"/>
                <w:color w:val="auto"/>
                <w:sz w:val="24"/>
                <w:szCs w:val="20"/>
                <w:highlight w:val="none"/>
              </w:rPr>
            </w:pPr>
          </w:p>
        </w:tc>
        <w:tc>
          <w:tcPr>
            <w:tcW w:w="1770" w:type="pct"/>
            <w:tcBorders>
              <w:top w:val="single" w:color="auto" w:sz="4" w:space="0"/>
              <w:left w:val="single" w:color="auto" w:sz="4" w:space="0"/>
              <w:bottom w:val="single" w:color="auto" w:sz="4" w:space="0"/>
              <w:right w:val="single" w:color="auto" w:sz="4" w:space="0"/>
            </w:tcBorders>
            <w:vAlign w:val="center"/>
          </w:tcPr>
          <w:p w14:paraId="04116129">
            <w:pPr>
              <w:shd w:val="clear"/>
              <w:adjustRightInd w:val="0"/>
              <w:snapToGrid w:val="0"/>
              <w:spacing w:beforeLines="50" w:after="200" w:line="220" w:lineRule="atLeast"/>
              <w:jc w:val="center"/>
              <w:rPr>
                <w:rFonts w:ascii="宋体" w:hAnsi="宋体" w:cs="宋体"/>
                <w:color w:val="auto"/>
                <w:sz w:val="24"/>
                <w:szCs w:val="20"/>
                <w:highlight w:val="none"/>
              </w:rPr>
            </w:pPr>
          </w:p>
        </w:tc>
      </w:tr>
      <w:tr w14:paraId="5D561A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5636922C">
            <w:pPr>
              <w:shd w:val="clear" w:color="auto"/>
              <w:adjustRightInd w:val="0"/>
              <w:snapToGrid w:val="0"/>
              <w:spacing w:before="156" w:beforeLines="50" w:after="200" w:line="220" w:lineRule="atLeast"/>
              <w:jc w:val="center"/>
              <w:rPr>
                <w:rFonts w:ascii="宋体" w:hAnsi="宋体" w:cs="宋体"/>
                <w:color w:val="auto"/>
                <w:szCs w:val="21"/>
                <w:highlight w:val="none"/>
              </w:rPr>
            </w:pPr>
            <w:r>
              <w:rPr>
                <w:rFonts w:hint="eastAsia" w:ascii="宋体" w:hAnsi="宋体"/>
                <w:color w:val="auto"/>
                <w:szCs w:val="21"/>
                <w:highlight w:val="none"/>
              </w:rPr>
              <w:t>投标货币</w:t>
            </w:r>
          </w:p>
        </w:tc>
        <w:tc>
          <w:tcPr>
            <w:tcW w:w="1583" w:type="pct"/>
            <w:tcBorders>
              <w:top w:val="single" w:color="auto" w:sz="4" w:space="0"/>
              <w:left w:val="single" w:color="auto" w:sz="4" w:space="0"/>
              <w:bottom w:val="single" w:color="auto" w:sz="4" w:space="0"/>
              <w:right w:val="single" w:color="auto" w:sz="4" w:space="0"/>
            </w:tcBorders>
            <w:vAlign w:val="center"/>
          </w:tcPr>
          <w:p w14:paraId="38C1579A">
            <w:pPr>
              <w:shd w:val="clear"/>
              <w:spacing w:beforeLines="50" w:line="220" w:lineRule="atLeast"/>
              <w:jc w:val="center"/>
              <w:rPr>
                <w:rFonts w:ascii="宋体" w:hAnsi="宋体" w:cs="宋体"/>
                <w:color w:val="auto"/>
                <w:sz w:val="24"/>
                <w:szCs w:val="20"/>
                <w:highlight w:val="none"/>
              </w:rPr>
            </w:pPr>
          </w:p>
          <w:p w14:paraId="38D0DE48">
            <w:pPr>
              <w:shd w:val="clear"/>
              <w:adjustRightInd w:val="0"/>
              <w:snapToGrid w:val="0"/>
              <w:spacing w:beforeLines="50" w:after="200" w:line="220" w:lineRule="atLeast"/>
              <w:jc w:val="center"/>
              <w:rPr>
                <w:rFonts w:ascii="宋体" w:hAnsi="宋体" w:cs="宋体"/>
                <w:color w:val="auto"/>
                <w:sz w:val="24"/>
                <w:szCs w:val="20"/>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5499EDF8">
            <w:pPr>
              <w:shd w:val="clear"/>
              <w:adjustRightInd w:val="0"/>
              <w:snapToGrid w:val="0"/>
              <w:spacing w:beforeLines="50" w:after="200" w:line="220" w:lineRule="atLeast"/>
              <w:jc w:val="center"/>
              <w:rPr>
                <w:rFonts w:ascii="宋体" w:hAnsi="宋体" w:cs="宋体"/>
                <w:color w:val="auto"/>
                <w:sz w:val="24"/>
                <w:szCs w:val="20"/>
                <w:highlight w:val="none"/>
              </w:rPr>
            </w:pPr>
          </w:p>
        </w:tc>
        <w:tc>
          <w:tcPr>
            <w:tcW w:w="1770" w:type="pct"/>
            <w:tcBorders>
              <w:top w:val="single" w:color="auto" w:sz="4" w:space="0"/>
              <w:left w:val="single" w:color="auto" w:sz="4" w:space="0"/>
              <w:bottom w:val="single" w:color="auto" w:sz="4" w:space="0"/>
              <w:right w:val="single" w:color="auto" w:sz="4" w:space="0"/>
            </w:tcBorders>
            <w:vAlign w:val="center"/>
          </w:tcPr>
          <w:p w14:paraId="2123E9FE">
            <w:pPr>
              <w:shd w:val="clear"/>
              <w:adjustRightInd w:val="0"/>
              <w:snapToGrid w:val="0"/>
              <w:spacing w:beforeLines="50" w:after="200" w:line="220" w:lineRule="atLeast"/>
              <w:jc w:val="center"/>
              <w:rPr>
                <w:rFonts w:ascii="宋体" w:hAnsi="宋体" w:cs="宋体"/>
                <w:color w:val="auto"/>
                <w:sz w:val="24"/>
                <w:szCs w:val="20"/>
                <w:highlight w:val="none"/>
              </w:rPr>
            </w:pPr>
          </w:p>
        </w:tc>
      </w:tr>
      <w:tr w14:paraId="4FE08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7CF7466E">
            <w:pPr>
              <w:shd w:val="clear" w:color="auto"/>
              <w:adjustRightInd w:val="0"/>
              <w:snapToGrid w:val="0"/>
              <w:spacing w:before="156" w:beforeLines="50" w:after="200" w:line="220" w:lineRule="atLeast"/>
              <w:jc w:val="center"/>
              <w:rPr>
                <w:rFonts w:ascii="宋体" w:hAnsi="宋体" w:cs="宋体"/>
                <w:color w:val="auto"/>
                <w:szCs w:val="21"/>
                <w:highlight w:val="none"/>
              </w:rPr>
            </w:pPr>
            <w:r>
              <w:rPr>
                <w:rFonts w:hint="eastAsia" w:ascii="仿宋_GB2312" w:hAnsi="宋体"/>
                <w:color w:val="auto"/>
                <w:szCs w:val="21"/>
                <w:highlight w:val="none"/>
              </w:rPr>
              <w:t>其他</w:t>
            </w:r>
          </w:p>
        </w:tc>
        <w:tc>
          <w:tcPr>
            <w:tcW w:w="1583" w:type="pct"/>
            <w:tcBorders>
              <w:top w:val="single" w:color="auto" w:sz="4" w:space="0"/>
              <w:left w:val="single" w:color="auto" w:sz="4" w:space="0"/>
              <w:bottom w:val="single" w:color="auto" w:sz="4" w:space="0"/>
              <w:right w:val="single" w:color="auto" w:sz="4" w:space="0"/>
            </w:tcBorders>
            <w:vAlign w:val="center"/>
          </w:tcPr>
          <w:p w14:paraId="65FA1965">
            <w:pPr>
              <w:shd w:val="clear"/>
              <w:adjustRightInd w:val="0"/>
              <w:snapToGrid w:val="0"/>
              <w:spacing w:beforeLines="50" w:after="200" w:line="220" w:lineRule="atLeast"/>
              <w:jc w:val="center"/>
              <w:rPr>
                <w:rFonts w:ascii="宋体" w:hAnsi="宋体"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0FB4B3C2">
            <w:pPr>
              <w:shd w:val="clear"/>
              <w:adjustRightInd w:val="0"/>
              <w:snapToGrid w:val="0"/>
              <w:spacing w:beforeLines="50" w:after="200" w:line="220" w:lineRule="atLeast"/>
              <w:jc w:val="center"/>
              <w:rPr>
                <w:rFonts w:ascii="宋体" w:hAnsi="宋体"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vAlign w:val="center"/>
          </w:tcPr>
          <w:p w14:paraId="2723ABE3">
            <w:pPr>
              <w:shd w:val="clear"/>
              <w:adjustRightInd w:val="0"/>
              <w:snapToGrid w:val="0"/>
              <w:spacing w:beforeLines="50" w:after="200" w:line="220" w:lineRule="atLeast"/>
              <w:jc w:val="center"/>
              <w:rPr>
                <w:rFonts w:ascii="宋体" w:hAnsi="宋体" w:cs="宋体"/>
                <w:color w:val="auto"/>
                <w:szCs w:val="21"/>
                <w:highlight w:val="none"/>
              </w:rPr>
            </w:pPr>
          </w:p>
        </w:tc>
      </w:tr>
      <w:tr w14:paraId="3B566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907" w:type="pct"/>
            <w:tcBorders>
              <w:top w:val="single" w:color="auto" w:sz="4" w:space="0"/>
              <w:left w:val="single" w:color="auto" w:sz="4" w:space="0"/>
              <w:bottom w:val="single" w:color="auto" w:sz="4" w:space="0"/>
              <w:right w:val="single" w:color="auto" w:sz="4" w:space="0"/>
            </w:tcBorders>
            <w:vAlign w:val="center"/>
          </w:tcPr>
          <w:p w14:paraId="5D884CB6">
            <w:pPr>
              <w:shd w:val="clear" w:color="auto"/>
              <w:adjustRightInd w:val="0"/>
              <w:snapToGrid w:val="0"/>
              <w:spacing w:before="156" w:beforeLines="50" w:after="200" w:line="220" w:lineRule="atLeas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1583" w:type="pct"/>
            <w:tcBorders>
              <w:top w:val="single" w:color="auto" w:sz="4" w:space="0"/>
              <w:left w:val="single" w:color="auto" w:sz="4" w:space="0"/>
              <w:bottom w:val="single" w:color="auto" w:sz="4" w:space="0"/>
              <w:right w:val="single" w:color="auto" w:sz="4" w:space="0"/>
            </w:tcBorders>
            <w:vAlign w:val="center"/>
          </w:tcPr>
          <w:p w14:paraId="4F440E4C">
            <w:pPr>
              <w:shd w:val="clear"/>
              <w:adjustRightInd w:val="0"/>
              <w:snapToGrid w:val="0"/>
              <w:spacing w:beforeLines="50" w:after="200" w:line="220" w:lineRule="atLeast"/>
              <w:jc w:val="center"/>
              <w:rPr>
                <w:rFonts w:ascii="宋体" w:hAnsi="宋体" w:cs="宋体"/>
                <w:color w:val="auto"/>
                <w:szCs w:val="21"/>
                <w:highlight w:val="none"/>
              </w:rPr>
            </w:pPr>
          </w:p>
        </w:tc>
        <w:tc>
          <w:tcPr>
            <w:tcW w:w="738" w:type="pct"/>
            <w:tcBorders>
              <w:top w:val="single" w:color="auto" w:sz="4" w:space="0"/>
              <w:left w:val="single" w:color="auto" w:sz="4" w:space="0"/>
              <w:bottom w:val="single" w:color="auto" w:sz="4" w:space="0"/>
              <w:right w:val="single" w:color="auto" w:sz="4" w:space="0"/>
            </w:tcBorders>
            <w:vAlign w:val="center"/>
          </w:tcPr>
          <w:p w14:paraId="39BD2D15">
            <w:pPr>
              <w:shd w:val="clear"/>
              <w:adjustRightInd w:val="0"/>
              <w:snapToGrid w:val="0"/>
              <w:spacing w:beforeLines="50" w:after="200" w:line="220" w:lineRule="atLeast"/>
              <w:jc w:val="center"/>
              <w:rPr>
                <w:rFonts w:ascii="宋体" w:hAnsi="宋体" w:cs="宋体"/>
                <w:color w:val="auto"/>
                <w:szCs w:val="21"/>
                <w:highlight w:val="none"/>
              </w:rPr>
            </w:pPr>
          </w:p>
        </w:tc>
        <w:tc>
          <w:tcPr>
            <w:tcW w:w="1770" w:type="pct"/>
            <w:tcBorders>
              <w:top w:val="single" w:color="auto" w:sz="4" w:space="0"/>
              <w:left w:val="single" w:color="auto" w:sz="4" w:space="0"/>
              <w:bottom w:val="single" w:color="auto" w:sz="4" w:space="0"/>
              <w:right w:val="single" w:color="auto" w:sz="4" w:space="0"/>
            </w:tcBorders>
            <w:vAlign w:val="center"/>
          </w:tcPr>
          <w:p w14:paraId="0EC86483">
            <w:pPr>
              <w:shd w:val="clear"/>
              <w:adjustRightInd w:val="0"/>
              <w:snapToGrid w:val="0"/>
              <w:spacing w:beforeLines="50" w:after="200" w:line="220" w:lineRule="atLeast"/>
              <w:jc w:val="center"/>
              <w:rPr>
                <w:rFonts w:ascii="宋体" w:hAnsi="宋体" w:cs="宋体"/>
                <w:color w:val="auto"/>
                <w:szCs w:val="21"/>
                <w:highlight w:val="none"/>
              </w:rPr>
            </w:pPr>
          </w:p>
        </w:tc>
      </w:tr>
    </w:tbl>
    <w:p w14:paraId="272B27AE">
      <w:pPr>
        <w:shd w:val="clear" w:color="auto"/>
        <w:spacing w:line="360" w:lineRule="auto"/>
        <w:rPr>
          <w:rFonts w:ascii="宋体" w:hAnsi="宋体"/>
          <w:color w:val="auto"/>
          <w:szCs w:val="21"/>
          <w:highlight w:val="none"/>
        </w:rPr>
      </w:pPr>
      <w:r>
        <w:rPr>
          <w:rFonts w:hint="eastAsia" w:ascii="宋体" w:hAnsi="宋体"/>
          <w:color w:val="auto"/>
          <w:szCs w:val="21"/>
          <w:highlight w:val="none"/>
        </w:rPr>
        <w:t>法定代表人或授权代表</w:t>
      </w:r>
      <w:r>
        <w:rPr>
          <w:rFonts w:hint="eastAsia" w:ascii="宋体" w:hAnsi="宋体"/>
          <w:color w:val="auto"/>
          <w:highlight w:val="none"/>
          <w:lang w:eastAsia="zh-CN"/>
        </w:rPr>
        <w:t>（</w:t>
      </w:r>
      <w:r>
        <w:rPr>
          <w:rFonts w:hint="eastAsia" w:ascii="宋体" w:hAnsi="宋体"/>
          <w:color w:val="auto"/>
          <w:highlight w:val="none"/>
        </w:rPr>
        <w:t>签字或盖章</w:t>
      </w:r>
      <w:r>
        <w:rPr>
          <w:rFonts w:hint="eastAsia" w:ascii="宋体" w:hAnsi="宋体"/>
          <w:color w:val="auto"/>
          <w:highlight w:val="none"/>
          <w:lang w:eastAsia="zh-CN"/>
        </w:rPr>
        <w:t>）</w:t>
      </w:r>
      <w:r>
        <w:rPr>
          <w:rFonts w:hint="eastAsia" w:ascii="宋体" w:hAnsi="宋体"/>
          <w:color w:val="auto"/>
          <w:szCs w:val="21"/>
          <w:highlight w:val="none"/>
        </w:rPr>
        <w:t>：</w:t>
      </w:r>
    </w:p>
    <w:p w14:paraId="33A54035">
      <w:pPr>
        <w:shd w:val="clear" w:color="auto"/>
        <w:spacing w:line="360" w:lineRule="auto"/>
        <w:jc w:val="right"/>
        <w:rPr>
          <w:rFonts w:hint="eastAsia" w:ascii="宋体" w:hAnsi="宋体" w:eastAsia="微软雅黑"/>
          <w:color w:val="auto"/>
          <w:szCs w:val="21"/>
          <w:highlight w:val="none"/>
          <w:u w:val="none"/>
        </w:rPr>
      </w:pPr>
      <w:r>
        <w:rPr>
          <w:rFonts w:hint="eastAsia" w:ascii="宋体" w:hAnsi="宋体"/>
          <w:color w:val="auto"/>
          <w:szCs w:val="21"/>
          <w:highlight w:val="none"/>
          <w:u w:val="none"/>
        </w:rPr>
        <w:t>日期：     年   月   日</w:t>
      </w:r>
    </w:p>
    <w:p w14:paraId="3D344CF9">
      <w:pPr>
        <w:shd w:val="clear"/>
        <w:rPr>
          <w:rFonts w:hint="eastAsia" w:ascii="宋体" w:hAnsi="宋体" w:cs="宋体"/>
          <w:b/>
          <w:color w:val="auto"/>
          <w:kern w:val="2"/>
          <w:sz w:val="21"/>
          <w:szCs w:val="21"/>
          <w:highlight w:val="none"/>
          <w:lang w:val="en-US" w:eastAsia="zh-CN"/>
        </w:rPr>
      </w:pPr>
    </w:p>
    <w:p w14:paraId="034DD9C8">
      <w:pPr>
        <w:shd w:val="clear"/>
        <w:rPr>
          <w:rFonts w:hint="eastAsia" w:ascii="宋体" w:hAnsi="宋体" w:cs="宋体"/>
          <w:b/>
          <w:color w:val="auto"/>
          <w:kern w:val="2"/>
          <w:sz w:val="21"/>
          <w:szCs w:val="21"/>
          <w:highlight w:val="none"/>
          <w:lang w:val="en-US" w:eastAsia="zh-CN"/>
        </w:rPr>
      </w:pPr>
    </w:p>
    <w:p w14:paraId="62F17404">
      <w:pPr>
        <w:shd w:val="clear"/>
        <w:rPr>
          <w:rFonts w:hint="eastAsia" w:ascii="宋体" w:hAnsi="宋体" w:cs="宋体"/>
          <w:b/>
          <w:color w:val="auto"/>
          <w:kern w:val="2"/>
          <w:sz w:val="21"/>
          <w:szCs w:val="21"/>
          <w:highlight w:val="none"/>
          <w:lang w:val="en-US" w:eastAsia="zh-CN"/>
        </w:rPr>
      </w:pPr>
      <w:r>
        <w:rPr>
          <w:rFonts w:hint="eastAsia" w:ascii="宋体" w:hAnsi="宋体" w:cs="宋体"/>
          <w:b/>
          <w:color w:val="auto"/>
          <w:kern w:val="2"/>
          <w:sz w:val="21"/>
          <w:szCs w:val="21"/>
          <w:highlight w:val="none"/>
          <w:lang w:val="en-US" w:eastAsia="zh-CN"/>
        </w:rPr>
        <w:br w:type="page"/>
      </w:r>
    </w:p>
    <w:p w14:paraId="3CB7A11C">
      <w:pPr>
        <w:pStyle w:val="33"/>
        <w:shd w:val="clear"/>
        <w:ind w:left="0" w:leftChars="0" w:firstLine="0"/>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lang w:val="en-US" w:eastAsia="zh-CN"/>
        </w:rPr>
        <w:t>八</w:t>
      </w:r>
      <w:r>
        <w:rPr>
          <w:rFonts w:hint="eastAsia" w:ascii="宋体" w:hAnsi="宋体" w:cs="宋体"/>
          <w:b/>
          <w:color w:val="auto"/>
          <w:kern w:val="2"/>
          <w:sz w:val="21"/>
          <w:szCs w:val="21"/>
          <w:highlight w:val="none"/>
        </w:rPr>
        <w:t>、其他</w:t>
      </w:r>
    </w:p>
    <w:p w14:paraId="44E8588D">
      <w:pPr>
        <w:shd w:val="clear"/>
        <w:jc w:val="center"/>
        <w:rPr>
          <w:color w:val="auto"/>
          <w:highlight w:val="none"/>
        </w:rPr>
      </w:pPr>
      <w:r>
        <w:rPr>
          <w:rFonts w:hint="eastAsia"/>
          <w:color w:val="auto"/>
          <w:highlight w:val="none"/>
        </w:rPr>
        <w:t>（根据招标文件的要求和招标单位认为需要提供的资料）</w:t>
      </w:r>
    </w:p>
    <w:p w14:paraId="3D8A11F1">
      <w:pPr>
        <w:shd w:val="clear"/>
        <w:rPr>
          <w:color w:val="auto"/>
          <w:highlight w:val="none"/>
        </w:rPr>
      </w:pPr>
    </w:p>
    <w:p w14:paraId="713F7CF6">
      <w:pPr>
        <w:shd w:val="clear"/>
        <w:rPr>
          <w:color w:val="auto"/>
          <w:highlight w:val="none"/>
        </w:rPr>
      </w:pPr>
      <w:r>
        <w:rPr>
          <w:color w:val="auto"/>
          <w:highlight w:val="none"/>
        </w:rPr>
        <w:br w:type="page"/>
      </w:r>
    </w:p>
    <w:p w14:paraId="0BA67816">
      <w:pPr>
        <w:widowControl/>
        <w:shd w:val="clear"/>
        <w:jc w:val="left"/>
        <w:rPr>
          <w:color w:val="auto"/>
          <w:highlight w:val="none"/>
        </w:rPr>
      </w:pPr>
    </w:p>
    <w:p w14:paraId="4307E13A">
      <w:pPr>
        <w:shd w:val="clear"/>
        <w:jc w:val="center"/>
        <w:rPr>
          <w:rFonts w:ascii="宋体" w:hAnsi="宋体"/>
          <w:b/>
          <w:color w:val="auto"/>
          <w:sz w:val="44"/>
          <w:szCs w:val="44"/>
          <w:highlight w:val="none"/>
        </w:rPr>
      </w:pPr>
      <w:r>
        <w:rPr>
          <w:rFonts w:hint="eastAsia" w:ascii="宋体" w:hAnsi="宋体"/>
          <w:b/>
          <w:color w:val="auto"/>
          <w:sz w:val="44"/>
          <w:szCs w:val="44"/>
          <w:highlight w:val="none"/>
        </w:rPr>
        <w:t>供应商参加投标确认函</w:t>
      </w:r>
    </w:p>
    <w:p w14:paraId="61002F40">
      <w:pPr>
        <w:shd w:val="clear"/>
        <w:rPr>
          <w:rFonts w:ascii="宋体" w:hAnsi="宋体" w:cs="宋体"/>
          <w:color w:val="auto"/>
          <w:sz w:val="24"/>
          <w:highlight w:val="none"/>
        </w:rPr>
      </w:pPr>
    </w:p>
    <w:p w14:paraId="587C296B">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江苏时代投资咨询有限公司：</w:t>
      </w:r>
    </w:p>
    <w:p w14:paraId="27BB1BC5">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　　本单位将参加贵公司于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日开标的采购编号为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项目的投标。本单位已在网站成功下载标书，特发函确认。</w:t>
      </w:r>
    </w:p>
    <w:p w14:paraId="356896E1">
      <w:pPr>
        <w:shd w:val="clear"/>
        <w:spacing w:line="360" w:lineRule="auto"/>
        <w:ind w:left="2730" w:hanging="2730" w:hangingChars="1300"/>
        <w:jc w:val="righ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（单位公章）</w:t>
      </w:r>
    </w:p>
    <w:p w14:paraId="09E244C2">
      <w:pPr>
        <w:pBdr>
          <w:bottom w:val="single" w:color="auto" w:sz="6" w:space="1"/>
        </w:pBdr>
        <w:shd w:val="clear"/>
        <w:spacing w:line="360" w:lineRule="auto"/>
        <w:ind w:left="3465" w:hanging="3465" w:hangingChars="1650"/>
        <w:jc w:val="right"/>
        <w:rPr>
          <w:rFonts w:ascii="宋体" w:hAnsi="宋体" w:cs="宋体"/>
          <w:color w:val="auto"/>
          <w:szCs w:val="21"/>
          <w:highlight w:val="none"/>
        </w:rPr>
      </w:pPr>
      <w:r>
        <w:rPr>
          <w:rFonts w:hint="eastAsia" w:ascii="宋体" w:hAnsi="宋体" w:cs="宋体"/>
          <w:color w:val="auto"/>
          <w:szCs w:val="21"/>
          <w:highlight w:val="none"/>
        </w:rPr>
        <w:t>　　　　　　　　　　　　　    　年　　　月　　　日</w:t>
      </w:r>
    </w:p>
    <w:p w14:paraId="094B9F7B">
      <w:pPr>
        <w:shd w:val="clear"/>
        <w:spacing w:line="360" w:lineRule="auto"/>
        <w:ind w:left="3465" w:hanging="3465" w:hangingChars="1650"/>
        <w:rPr>
          <w:rFonts w:ascii="宋体" w:hAnsi="宋体" w:cs="宋体"/>
          <w:color w:val="auto"/>
          <w:szCs w:val="21"/>
          <w:highlight w:val="none"/>
        </w:rPr>
      </w:pPr>
    </w:p>
    <w:p w14:paraId="1A59ED8C">
      <w:pPr>
        <w:shd w:val="clear"/>
        <w:spacing w:line="360" w:lineRule="auto"/>
        <w:ind w:left="3465" w:hanging="3465" w:hangingChars="1650"/>
        <w:rPr>
          <w:rFonts w:ascii="宋体" w:hAnsi="宋体" w:cs="宋体"/>
          <w:color w:val="auto"/>
          <w:szCs w:val="21"/>
          <w:highlight w:val="none"/>
        </w:rPr>
      </w:pPr>
    </w:p>
    <w:p w14:paraId="6BA2AB57">
      <w:pPr>
        <w:shd w:val="clear"/>
        <w:spacing w:line="360" w:lineRule="auto"/>
        <w:ind w:left="3465" w:hanging="3465" w:hangingChars="1650"/>
        <w:rPr>
          <w:rFonts w:ascii="宋体" w:hAnsi="宋体" w:cs="宋体"/>
          <w:color w:val="auto"/>
          <w:szCs w:val="21"/>
          <w:highlight w:val="none"/>
        </w:rPr>
      </w:pPr>
      <w:r>
        <w:rPr>
          <w:rFonts w:hint="eastAsia" w:ascii="宋体" w:hAnsi="宋体" w:cs="宋体"/>
          <w:color w:val="auto"/>
          <w:szCs w:val="21"/>
          <w:highlight w:val="none"/>
        </w:rPr>
        <w:t>附：</w:t>
      </w:r>
    </w:p>
    <w:p w14:paraId="145299BD">
      <w:pPr>
        <w:shd w:val="clear"/>
        <w:spacing w:line="360" w:lineRule="auto"/>
        <w:ind w:left="3479" w:hanging="3479" w:hangingChars="1650"/>
        <w:jc w:val="center"/>
        <w:rPr>
          <w:rFonts w:ascii="宋体" w:hAnsi="宋体" w:cs="宋体"/>
          <w:b/>
          <w:color w:val="auto"/>
          <w:szCs w:val="21"/>
          <w:highlight w:val="none"/>
        </w:rPr>
      </w:pPr>
      <w:r>
        <w:rPr>
          <w:rFonts w:hint="eastAsia" w:ascii="宋体" w:hAnsi="宋体" w:cs="宋体"/>
          <w:b/>
          <w:color w:val="auto"/>
          <w:szCs w:val="21"/>
          <w:highlight w:val="none"/>
        </w:rPr>
        <w:t>供应商联系表</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2586"/>
        <w:gridCol w:w="2586"/>
        <w:gridCol w:w="2260"/>
      </w:tblGrid>
      <w:tr w14:paraId="2A3B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14:paraId="4F6EB5F7">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单位名称</w:t>
            </w:r>
          </w:p>
        </w:tc>
        <w:tc>
          <w:tcPr>
            <w:tcW w:w="3819" w:type="pct"/>
            <w:gridSpan w:val="3"/>
          </w:tcPr>
          <w:p w14:paraId="630AD418">
            <w:pPr>
              <w:shd w:val="clear"/>
              <w:spacing w:line="360" w:lineRule="auto"/>
              <w:jc w:val="center"/>
              <w:rPr>
                <w:rFonts w:ascii="宋体" w:hAnsi="宋体" w:cs="宋体"/>
                <w:color w:val="auto"/>
                <w:szCs w:val="21"/>
                <w:highlight w:val="none"/>
              </w:rPr>
            </w:pPr>
          </w:p>
        </w:tc>
      </w:tr>
      <w:tr w14:paraId="2B1C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14:paraId="35AAD56C">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p>
        </w:tc>
        <w:tc>
          <w:tcPr>
            <w:tcW w:w="3819" w:type="pct"/>
            <w:gridSpan w:val="3"/>
          </w:tcPr>
          <w:p w14:paraId="46221FC5">
            <w:pPr>
              <w:shd w:val="clear"/>
              <w:spacing w:line="360" w:lineRule="auto"/>
              <w:jc w:val="center"/>
              <w:rPr>
                <w:rFonts w:ascii="宋体" w:hAnsi="宋体" w:cs="宋体"/>
                <w:color w:val="auto"/>
                <w:szCs w:val="21"/>
                <w:highlight w:val="none"/>
              </w:rPr>
            </w:pPr>
          </w:p>
        </w:tc>
      </w:tr>
      <w:tr w14:paraId="5EA5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14:paraId="249867BF">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1329" w:type="pct"/>
          </w:tcPr>
          <w:p w14:paraId="1BF74553">
            <w:pPr>
              <w:shd w:val="clear"/>
              <w:spacing w:line="360" w:lineRule="auto"/>
              <w:rPr>
                <w:rFonts w:ascii="宋体" w:hAnsi="宋体" w:cs="宋体"/>
                <w:color w:val="auto"/>
                <w:szCs w:val="21"/>
                <w:highlight w:val="none"/>
              </w:rPr>
            </w:pPr>
          </w:p>
        </w:tc>
        <w:tc>
          <w:tcPr>
            <w:tcW w:w="1329" w:type="pct"/>
          </w:tcPr>
          <w:p w14:paraId="6D1D5690">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邮    编</w:t>
            </w:r>
          </w:p>
        </w:tc>
        <w:tc>
          <w:tcPr>
            <w:tcW w:w="1161" w:type="pct"/>
          </w:tcPr>
          <w:p w14:paraId="2320A514">
            <w:pPr>
              <w:shd w:val="clear"/>
              <w:spacing w:line="360" w:lineRule="auto"/>
              <w:jc w:val="center"/>
              <w:rPr>
                <w:rFonts w:ascii="宋体" w:hAnsi="宋体" w:cs="宋体"/>
                <w:color w:val="auto"/>
                <w:szCs w:val="21"/>
                <w:highlight w:val="none"/>
              </w:rPr>
            </w:pPr>
          </w:p>
        </w:tc>
      </w:tr>
      <w:tr w14:paraId="21A0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pct"/>
          </w:tcPr>
          <w:p w14:paraId="4A247EEF">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单位电话</w:t>
            </w:r>
          </w:p>
        </w:tc>
        <w:tc>
          <w:tcPr>
            <w:tcW w:w="1329" w:type="pct"/>
          </w:tcPr>
          <w:p w14:paraId="19C77334">
            <w:pPr>
              <w:shd w:val="clear"/>
              <w:spacing w:line="360" w:lineRule="auto"/>
              <w:jc w:val="center"/>
              <w:rPr>
                <w:rFonts w:ascii="宋体" w:hAnsi="宋体" w:cs="宋体"/>
                <w:color w:val="auto"/>
                <w:szCs w:val="21"/>
                <w:highlight w:val="none"/>
              </w:rPr>
            </w:pPr>
          </w:p>
        </w:tc>
        <w:tc>
          <w:tcPr>
            <w:tcW w:w="1329" w:type="pct"/>
          </w:tcPr>
          <w:p w14:paraId="188E7003">
            <w:pPr>
              <w:shd w:val="clear"/>
              <w:spacing w:line="360" w:lineRule="auto"/>
              <w:jc w:val="left"/>
              <w:rPr>
                <w:rFonts w:ascii="宋体" w:hAnsi="宋体" w:cs="宋体"/>
                <w:color w:val="auto"/>
                <w:szCs w:val="21"/>
                <w:highlight w:val="none"/>
              </w:rPr>
            </w:pPr>
            <w:r>
              <w:rPr>
                <w:rFonts w:hint="eastAsia" w:ascii="宋体" w:hAnsi="宋体" w:cs="宋体"/>
                <w:color w:val="auto"/>
                <w:szCs w:val="21"/>
                <w:highlight w:val="none"/>
              </w:rPr>
              <w:t>传真号码</w:t>
            </w:r>
          </w:p>
        </w:tc>
        <w:tc>
          <w:tcPr>
            <w:tcW w:w="1161" w:type="pct"/>
          </w:tcPr>
          <w:p w14:paraId="28CDDAE8">
            <w:pPr>
              <w:shd w:val="clear"/>
              <w:spacing w:line="360" w:lineRule="auto"/>
              <w:jc w:val="center"/>
              <w:rPr>
                <w:rFonts w:ascii="宋体" w:hAnsi="宋体" w:cs="宋体"/>
                <w:color w:val="auto"/>
                <w:szCs w:val="21"/>
                <w:highlight w:val="none"/>
              </w:rPr>
            </w:pPr>
          </w:p>
        </w:tc>
      </w:tr>
      <w:tr w14:paraId="5408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14:paraId="01236FE0">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项目联系人</w:t>
            </w:r>
          </w:p>
        </w:tc>
        <w:tc>
          <w:tcPr>
            <w:tcW w:w="1329" w:type="pct"/>
          </w:tcPr>
          <w:p w14:paraId="1B376AFE">
            <w:pPr>
              <w:shd w:val="clear"/>
              <w:spacing w:line="360" w:lineRule="auto"/>
              <w:jc w:val="center"/>
              <w:rPr>
                <w:rFonts w:ascii="宋体" w:hAnsi="宋体" w:cs="宋体"/>
                <w:color w:val="auto"/>
                <w:szCs w:val="21"/>
                <w:highlight w:val="none"/>
              </w:rPr>
            </w:pPr>
          </w:p>
        </w:tc>
        <w:tc>
          <w:tcPr>
            <w:tcW w:w="1329" w:type="pct"/>
          </w:tcPr>
          <w:p w14:paraId="41D8C498">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邮    箱</w:t>
            </w:r>
          </w:p>
        </w:tc>
        <w:tc>
          <w:tcPr>
            <w:tcW w:w="1161" w:type="pct"/>
          </w:tcPr>
          <w:p w14:paraId="207F033D">
            <w:pPr>
              <w:shd w:val="clear"/>
              <w:spacing w:line="360" w:lineRule="auto"/>
              <w:jc w:val="center"/>
              <w:rPr>
                <w:rFonts w:ascii="宋体" w:hAnsi="宋体" w:cs="宋体"/>
                <w:color w:val="auto"/>
                <w:szCs w:val="21"/>
                <w:highlight w:val="none"/>
              </w:rPr>
            </w:pPr>
          </w:p>
        </w:tc>
      </w:tr>
      <w:tr w14:paraId="0431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1" w:type="pct"/>
          </w:tcPr>
          <w:p w14:paraId="24342145">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联系人电话</w:t>
            </w:r>
          </w:p>
        </w:tc>
        <w:tc>
          <w:tcPr>
            <w:tcW w:w="1329" w:type="pct"/>
          </w:tcPr>
          <w:p w14:paraId="22124D9B">
            <w:pPr>
              <w:shd w:val="clear"/>
              <w:spacing w:line="360" w:lineRule="auto"/>
              <w:jc w:val="center"/>
              <w:rPr>
                <w:rFonts w:ascii="宋体" w:hAnsi="宋体" w:cs="宋体"/>
                <w:color w:val="auto"/>
                <w:szCs w:val="21"/>
                <w:highlight w:val="none"/>
              </w:rPr>
            </w:pPr>
          </w:p>
        </w:tc>
        <w:tc>
          <w:tcPr>
            <w:tcW w:w="1329" w:type="pct"/>
          </w:tcPr>
          <w:p w14:paraId="0FE0FE21">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联系人手机</w:t>
            </w:r>
          </w:p>
        </w:tc>
        <w:tc>
          <w:tcPr>
            <w:tcW w:w="1161" w:type="pct"/>
          </w:tcPr>
          <w:p w14:paraId="26E2F0AD">
            <w:pPr>
              <w:shd w:val="clear"/>
              <w:spacing w:line="360" w:lineRule="auto"/>
              <w:jc w:val="center"/>
              <w:rPr>
                <w:rFonts w:ascii="宋体" w:hAnsi="宋体" w:cs="宋体"/>
                <w:color w:val="auto"/>
                <w:szCs w:val="21"/>
                <w:highlight w:val="none"/>
              </w:rPr>
            </w:pPr>
          </w:p>
        </w:tc>
      </w:tr>
      <w:tr w14:paraId="615A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1" w:type="pct"/>
          </w:tcPr>
          <w:p w14:paraId="451F535E">
            <w:pPr>
              <w:shd w:val="clear"/>
              <w:spacing w:line="360" w:lineRule="auto"/>
              <w:rPr>
                <w:rFonts w:ascii="宋体" w:hAnsi="宋体" w:cs="宋体"/>
                <w:color w:val="auto"/>
                <w:szCs w:val="21"/>
                <w:highlight w:val="none"/>
              </w:rPr>
            </w:pPr>
            <w:r>
              <w:rPr>
                <w:rFonts w:hint="eastAsia" w:ascii="宋体" w:hAnsi="宋体" w:cs="宋体"/>
                <w:color w:val="auto"/>
                <w:szCs w:val="21"/>
                <w:highlight w:val="none"/>
              </w:rPr>
              <w:t>所投分包</w:t>
            </w:r>
          </w:p>
        </w:tc>
        <w:tc>
          <w:tcPr>
            <w:tcW w:w="3819" w:type="pct"/>
            <w:gridSpan w:val="3"/>
          </w:tcPr>
          <w:p w14:paraId="2C116A4E">
            <w:pPr>
              <w:shd w:val="clea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t>
            </w:r>
          </w:p>
        </w:tc>
      </w:tr>
    </w:tbl>
    <w:p w14:paraId="342AB4E7">
      <w:pPr>
        <w:shd w:val="clear"/>
        <w:spacing w:beforeLines="100" w:line="360" w:lineRule="auto"/>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备注：</w:t>
      </w:r>
    </w:p>
    <w:p w14:paraId="59E761C5">
      <w:pPr>
        <w:shd w:val="clear"/>
        <w:spacing w:line="360" w:lineRule="auto"/>
        <w:ind w:firstLine="420" w:firstLineChars="200"/>
        <w:jc w:val="left"/>
        <w:rPr>
          <w:rFonts w:cs="宋体" w:asciiTheme="minorEastAsia" w:hAnsiTheme="minorEastAsia" w:eastAsiaTheme="minorEastAsia"/>
          <w:color w:val="auto"/>
          <w:szCs w:val="21"/>
          <w:highlight w:val="none"/>
        </w:rPr>
      </w:pPr>
      <w:r>
        <w:rPr>
          <w:rFonts w:hint="eastAsia" w:cs="宋体" w:eastAsiaTheme="minorEastAsia"/>
          <w:color w:val="auto"/>
          <w:szCs w:val="21"/>
          <w:highlight w:val="none"/>
        </w:rPr>
        <w:t>1</w:t>
      </w:r>
      <w:r>
        <w:rPr>
          <w:rFonts w:hint="eastAsia" w:cs="宋体" w:asciiTheme="minorEastAsia" w:hAnsiTheme="minorEastAsia" w:eastAsiaTheme="minorEastAsia"/>
          <w:color w:val="auto"/>
          <w:szCs w:val="21"/>
          <w:highlight w:val="none"/>
        </w:rPr>
        <w:t>、请准备参与本项目投标的供应商如实填写（以上信息均为必填内容）后邮件至采购代理机构（邮 箱：</w:t>
      </w:r>
      <w:bookmarkStart w:id="117" w:name="EBba9c9bd7b5a64bcfb0f2dcb71e0ea086"/>
      <w:r>
        <w:rPr>
          <w:rFonts w:hint="eastAsia" w:cs="宋体" w:eastAsiaTheme="minorEastAsia"/>
          <w:color w:val="auto"/>
          <w:szCs w:val="21"/>
          <w:highlight w:val="none"/>
        </w:rPr>
        <w:t>2535112693</w:t>
      </w:r>
      <w:r>
        <w:rPr>
          <w:rFonts w:hint="eastAsia" w:cs="宋体" w:asciiTheme="minorEastAsia" w:hAnsiTheme="minorEastAsia" w:eastAsiaTheme="minorEastAsia"/>
          <w:color w:val="auto"/>
          <w:szCs w:val="21"/>
          <w:highlight w:val="none"/>
        </w:rPr>
        <w:t>@</w:t>
      </w:r>
      <w:r>
        <w:rPr>
          <w:rFonts w:hint="eastAsia" w:cs="宋体" w:eastAsiaTheme="minorEastAsia"/>
          <w:color w:val="auto"/>
          <w:szCs w:val="21"/>
          <w:highlight w:val="none"/>
        </w:rPr>
        <w:t>qq</w:t>
      </w:r>
      <w:r>
        <w:rPr>
          <w:rFonts w:hint="eastAsia" w:cs="宋体" w:asciiTheme="minorEastAsia" w:hAnsiTheme="minorEastAsia" w:eastAsiaTheme="minorEastAsia"/>
          <w:color w:val="auto"/>
          <w:szCs w:val="21"/>
          <w:highlight w:val="none"/>
        </w:rPr>
        <w:t>.</w:t>
      </w:r>
      <w:bookmarkEnd w:id="117"/>
      <w:r>
        <w:rPr>
          <w:rFonts w:hint="eastAsia" w:cs="宋体" w:eastAsiaTheme="minorEastAsia"/>
          <w:color w:val="auto"/>
          <w:szCs w:val="21"/>
          <w:highlight w:val="none"/>
        </w:rPr>
        <w:t>com</w:t>
      </w:r>
      <w:r>
        <w:rPr>
          <w:rFonts w:hint="eastAsia" w:cs="宋体" w:asciiTheme="minorEastAsia" w:hAnsiTheme="minorEastAsia" w:eastAsiaTheme="minorEastAsia"/>
          <w:color w:val="auto"/>
          <w:szCs w:val="21"/>
          <w:highlight w:val="none"/>
        </w:rPr>
        <w:t>，电话：</w:t>
      </w:r>
      <w:r>
        <w:rPr>
          <w:rFonts w:hint="eastAsia" w:cs="宋体" w:eastAsiaTheme="minorEastAsia"/>
          <w:color w:val="auto"/>
          <w:szCs w:val="21"/>
          <w:highlight w:val="none"/>
        </w:rPr>
        <w:t>18652792880</w:t>
      </w:r>
      <w:r>
        <w:rPr>
          <w:rFonts w:hint="eastAsia" w:cs="宋体" w:asciiTheme="minorEastAsia" w:hAnsiTheme="minorEastAsia" w:eastAsiaTheme="minorEastAsia"/>
          <w:color w:val="auto"/>
          <w:szCs w:val="21"/>
          <w:highlight w:val="none"/>
        </w:rPr>
        <w:t>）。</w:t>
      </w:r>
    </w:p>
    <w:p w14:paraId="20613FB5">
      <w:pPr>
        <w:pStyle w:val="56"/>
        <w:shd w:val="clear"/>
        <w:spacing w:line="360" w:lineRule="auto"/>
        <w:ind w:firstLine="420"/>
        <w:rPr>
          <w:rFonts w:cs="宋体" w:asciiTheme="minorEastAsia" w:hAnsiTheme="minorEastAsia" w:eastAsiaTheme="minorEastAsia"/>
          <w:color w:val="auto"/>
          <w:sz w:val="21"/>
          <w:szCs w:val="21"/>
          <w:highlight w:val="none"/>
        </w:rPr>
      </w:pPr>
      <w:r>
        <w:rPr>
          <w:rFonts w:hint="eastAsia" w:ascii="Times New Roman" w:hAnsi="Times New Roman" w:cs="宋体" w:eastAsiaTheme="minorEastAsia"/>
          <w:color w:val="auto"/>
          <w:sz w:val="21"/>
          <w:szCs w:val="21"/>
          <w:highlight w:val="none"/>
        </w:rPr>
        <w:t>2</w:t>
      </w:r>
      <w:r>
        <w:rPr>
          <w:rFonts w:hint="eastAsia" w:cs="宋体" w:asciiTheme="minorEastAsia" w:hAnsiTheme="minorEastAsia" w:eastAsiaTheme="minorEastAsia"/>
          <w:color w:val="auto"/>
          <w:sz w:val="21"/>
          <w:szCs w:val="21"/>
          <w:highlight w:val="none"/>
        </w:rPr>
        <w:t>、因投标人填写有误，造成以上信息资料的不实将由投标人承担责任。</w:t>
      </w:r>
    </w:p>
    <w:p w14:paraId="4044B193">
      <w:pPr>
        <w:shd w:val="clear"/>
        <w:rPr>
          <w:color w:val="auto"/>
          <w:highlight w:val="none"/>
        </w:rPr>
      </w:pPr>
    </w:p>
    <w:sectPr>
      <w:footerReference r:id="rId6" w:type="default"/>
      <w:pgSz w:w="11906" w:h="16838"/>
      <w:pgMar w:top="1270" w:right="1196" w:bottom="1270" w:left="1196" w:header="851" w:footer="850" w:gutter="0"/>
      <w:pgBorders>
        <w:top w:val="none" w:sz="0" w:space="0"/>
        <w:left w:val="none" w:sz="0" w:space="0"/>
        <w:bottom w:val="none" w:sz="0" w:space="0"/>
        <w:right w:val="none" w:sz="0" w:space="0"/>
      </w:pgBorders>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TimesNewRomanPSMT">
    <w:altName w:val="Times New Roman"/>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4F10F">
    <w:pPr>
      <w:pStyle w:val="23"/>
      <w:jc w:val="both"/>
    </w:pPr>
  </w:p>
  <w:p w14:paraId="7B84FA88">
    <w:pPr>
      <w:pStyle w:val="23"/>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BFBB5">
    <w:pPr>
      <w:pStyle w:val="23"/>
      <w:jc w:val="both"/>
    </w:pPr>
  </w:p>
  <w:p w14:paraId="279ABFFE">
    <w:pPr>
      <w:pStyle w:val="23"/>
      <w:rPr>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3743A">
    <w:pPr>
      <w:pStyle w:val="23"/>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169C66">
                          <w:pPr>
                            <w:pStyle w:val="23"/>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0169C66">
                    <w:pPr>
                      <w:pStyle w:val="23"/>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p>
  <w:p w14:paraId="706AD62E">
    <w:pPr>
      <w:pStyle w:val="23"/>
      <w:rPr>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A3CA0">
    <w:pPr>
      <w:pStyle w:val="25"/>
      <w:pBdr>
        <w:bottom w:val="single" w:color="auto" w:sz="4" w:space="1"/>
      </w:pBdr>
    </w:pPr>
    <w:r>
      <w:rPr>
        <w:rFonts w:hint="eastAsia"/>
        <w:lang w:eastAsia="zh-CN"/>
      </w:rPr>
      <w:t>JSSDZX-2025124号</w:t>
    </w:r>
    <w:r>
      <w:rPr>
        <w:rFonts w:hint="eastAsia"/>
      </w:rPr>
      <w:t xml:space="preserve">                                                              江苏时代投资咨询有限公司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67019"/>
    <w:multiLevelType w:val="singleLevel"/>
    <w:tmpl w:val="8ED67019"/>
    <w:lvl w:ilvl="0" w:tentative="0">
      <w:start w:val="1"/>
      <w:numFmt w:val="decimal"/>
      <w:suff w:val="nothing"/>
      <w:lvlText w:val="%1．"/>
      <w:lvlJc w:val="left"/>
      <w:pPr>
        <w:ind w:left="0" w:firstLine="400"/>
      </w:pPr>
      <w:rPr>
        <w:rFonts w:hint="default"/>
      </w:rPr>
    </w:lvl>
  </w:abstractNum>
  <w:abstractNum w:abstractNumId="1">
    <w:nsid w:val="9E1F3CC3"/>
    <w:multiLevelType w:val="singleLevel"/>
    <w:tmpl w:val="9E1F3CC3"/>
    <w:lvl w:ilvl="0" w:tentative="0">
      <w:start w:val="1"/>
      <w:numFmt w:val="decimal"/>
      <w:suff w:val="nothing"/>
      <w:lvlText w:val="%1．"/>
      <w:lvlJc w:val="left"/>
      <w:pPr>
        <w:ind w:left="0" w:firstLine="400"/>
      </w:pPr>
      <w:rPr>
        <w:rFonts w:hint="default"/>
      </w:rPr>
    </w:lvl>
  </w:abstractNum>
  <w:abstractNum w:abstractNumId="2">
    <w:nsid w:val="9F86A962"/>
    <w:multiLevelType w:val="singleLevel"/>
    <w:tmpl w:val="9F86A962"/>
    <w:lvl w:ilvl="0" w:tentative="0">
      <w:start w:val="1"/>
      <w:numFmt w:val="decimal"/>
      <w:suff w:val="nothing"/>
      <w:lvlText w:val="%1．"/>
      <w:lvlJc w:val="left"/>
      <w:pPr>
        <w:ind w:left="0" w:firstLine="400"/>
      </w:pPr>
      <w:rPr>
        <w:rFonts w:hint="default"/>
      </w:rPr>
    </w:lvl>
  </w:abstractNum>
  <w:abstractNum w:abstractNumId="3">
    <w:nsid w:val="B1668E62"/>
    <w:multiLevelType w:val="singleLevel"/>
    <w:tmpl w:val="B1668E62"/>
    <w:lvl w:ilvl="0" w:tentative="0">
      <w:start w:val="1"/>
      <w:numFmt w:val="decimal"/>
      <w:suff w:val="nothing"/>
      <w:lvlText w:val="%1．"/>
      <w:lvlJc w:val="left"/>
      <w:pPr>
        <w:ind w:left="0" w:firstLine="400"/>
      </w:pPr>
      <w:rPr>
        <w:rFonts w:hint="default"/>
      </w:rPr>
    </w:lvl>
  </w:abstractNum>
  <w:abstractNum w:abstractNumId="4">
    <w:nsid w:val="B908271C"/>
    <w:multiLevelType w:val="singleLevel"/>
    <w:tmpl w:val="B908271C"/>
    <w:lvl w:ilvl="0" w:tentative="0">
      <w:start w:val="1"/>
      <w:numFmt w:val="decimal"/>
      <w:suff w:val="nothing"/>
      <w:lvlText w:val="%1、"/>
      <w:lvlJc w:val="left"/>
      <w:rPr>
        <w:rFonts w:hint="default"/>
        <w:b w:val="0"/>
        <w:bCs w:val="0"/>
      </w:rPr>
    </w:lvl>
  </w:abstractNum>
  <w:abstractNum w:abstractNumId="5">
    <w:nsid w:val="BE87349E"/>
    <w:multiLevelType w:val="singleLevel"/>
    <w:tmpl w:val="BE87349E"/>
    <w:lvl w:ilvl="0" w:tentative="0">
      <w:start w:val="1"/>
      <w:numFmt w:val="decimal"/>
      <w:suff w:val="nothing"/>
      <w:lvlText w:val="%1．"/>
      <w:lvlJc w:val="left"/>
      <w:pPr>
        <w:ind w:left="0" w:firstLine="400"/>
      </w:pPr>
      <w:rPr>
        <w:rFonts w:hint="default"/>
      </w:rPr>
    </w:lvl>
  </w:abstractNum>
  <w:abstractNum w:abstractNumId="6">
    <w:nsid w:val="DE779A72"/>
    <w:multiLevelType w:val="singleLevel"/>
    <w:tmpl w:val="DE779A72"/>
    <w:lvl w:ilvl="0" w:tentative="0">
      <w:start w:val="1"/>
      <w:numFmt w:val="decimal"/>
      <w:suff w:val="nothing"/>
      <w:lvlText w:val="%1．"/>
      <w:lvlJc w:val="left"/>
      <w:pPr>
        <w:ind w:left="0" w:firstLine="400"/>
      </w:pPr>
      <w:rPr>
        <w:rFonts w:hint="default"/>
      </w:rPr>
    </w:lvl>
  </w:abstractNum>
  <w:abstractNum w:abstractNumId="7">
    <w:nsid w:val="E0D24ACB"/>
    <w:multiLevelType w:val="singleLevel"/>
    <w:tmpl w:val="E0D24ACB"/>
    <w:lvl w:ilvl="0" w:tentative="0">
      <w:start w:val="1"/>
      <w:numFmt w:val="decimal"/>
      <w:suff w:val="nothing"/>
      <w:lvlText w:val="（%1）"/>
      <w:lvlJc w:val="left"/>
      <w:pPr>
        <w:ind w:left="0" w:firstLine="454"/>
      </w:pPr>
      <w:rPr>
        <w:rFonts w:hint="default"/>
        <w:b w:val="0"/>
        <w:bCs w:val="0"/>
      </w:rPr>
    </w:lvl>
  </w:abstractNum>
  <w:abstractNum w:abstractNumId="8">
    <w:nsid w:val="E2D29193"/>
    <w:multiLevelType w:val="singleLevel"/>
    <w:tmpl w:val="E2D29193"/>
    <w:lvl w:ilvl="0" w:tentative="0">
      <w:start w:val="1"/>
      <w:numFmt w:val="decimal"/>
      <w:suff w:val="nothing"/>
      <w:lvlText w:val="%1．"/>
      <w:lvlJc w:val="left"/>
      <w:pPr>
        <w:ind w:left="0" w:firstLine="400"/>
      </w:pPr>
      <w:rPr>
        <w:rFonts w:hint="default"/>
      </w:rPr>
    </w:lvl>
  </w:abstractNum>
  <w:abstractNum w:abstractNumId="9">
    <w:nsid w:val="E3D2440B"/>
    <w:multiLevelType w:val="singleLevel"/>
    <w:tmpl w:val="E3D2440B"/>
    <w:lvl w:ilvl="0" w:tentative="0">
      <w:start w:val="1"/>
      <w:numFmt w:val="decimal"/>
      <w:suff w:val="nothing"/>
      <w:lvlText w:val="%1．"/>
      <w:lvlJc w:val="left"/>
      <w:pPr>
        <w:ind w:left="0" w:firstLine="400"/>
      </w:pPr>
      <w:rPr>
        <w:rFonts w:hint="default"/>
      </w:rPr>
    </w:lvl>
  </w:abstractNum>
  <w:abstractNum w:abstractNumId="10">
    <w:nsid w:val="E44D1FF7"/>
    <w:multiLevelType w:val="singleLevel"/>
    <w:tmpl w:val="E44D1FF7"/>
    <w:lvl w:ilvl="0" w:tentative="0">
      <w:start w:val="1"/>
      <w:numFmt w:val="decimal"/>
      <w:suff w:val="nothing"/>
      <w:lvlText w:val="%1．"/>
      <w:lvlJc w:val="left"/>
      <w:pPr>
        <w:ind w:left="0" w:firstLine="400"/>
      </w:pPr>
      <w:rPr>
        <w:rFonts w:hint="default"/>
      </w:rPr>
    </w:lvl>
  </w:abstractNum>
  <w:abstractNum w:abstractNumId="11">
    <w:nsid w:val="E95839F2"/>
    <w:multiLevelType w:val="singleLevel"/>
    <w:tmpl w:val="E95839F2"/>
    <w:lvl w:ilvl="0" w:tentative="0">
      <w:start w:val="1"/>
      <w:numFmt w:val="decimal"/>
      <w:suff w:val="nothing"/>
      <w:lvlText w:val="%1．"/>
      <w:lvlJc w:val="left"/>
      <w:pPr>
        <w:ind w:left="0" w:firstLine="400"/>
      </w:pPr>
      <w:rPr>
        <w:rFonts w:hint="default"/>
      </w:rPr>
    </w:lvl>
  </w:abstractNum>
  <w:abstractNum w:abstractNumId="12">
    <w:nsid w:val="F0AF1E4F"/>
    <w:multiLevelType w:val="singleLevel"/>
    <w:tmpl w:val="F0AF1E4F"/>
    <w:lvl w:ilvl="0" w:tentative="0">
      <w:start w:val="1"/>
      <w:numFmt w:val="decimal"/>
      <w:suff w:val="nothing"/>
      <w:lvlText w:val="%1．"/>
      <w:lvlJc w:val="left"/>
      <w:pPr>
        <w:ind w:left="0" w:firstLine="400"/>
      </w:pPr>
      <w:rPr>
        <w:rFonts w:hint="default"/>
      </w:rPr>
    </w:lvl>
  </w:abstractNum>
  <w:abstractNum w:abstractNumId="13">
    <w:nsid w:val="00000012"/>
    <w:multiLevelType w:val="multilevel"/>
    <w:tmpl w:val="00000012"/>
    <w:lvl w:ilvl="0" w:tentative="0">
      <w:start w:val="1"/>
      <w:numFmt w:val="japaneseCounting"/>
      <w:pStyle w:val="167"/>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146"/>
      <w:isLgl/>
      <w:lvlText w:val="%1.%2"/>
      <w:lvlJc w:val="left"/>
      <w:pPr>
        <w:tabs>
          <w:tab w:val="left" w:pos="851"/>
        </w:tabs>
        <w:ind w:left="0" w:firstLine="0"/>
      </w:pPr>
    </w:lvl>
    <w:lvl w:ilvl="2" w:tentative="0">
      <w:start w:val="1"/>
      <w:numFmt w:val="decimal"/>
      <w:pStyle w:val="147"/>
      <w:isLgl/>
      <w:lvlText w:val="%1.%2.%3"/>
      <w:lvlJc w:val="left"/>
      <w:pPr>
        <w:tabs>
          <w:tab w:val="left" w:pos="851"/>
        </w:tabs>
        <w:ind w:left="0" w:firstLine="0"/>
      </w:pPr>
      <w:rPr>
        <w:color w:val="000000"/>
      </w:rPr>
    </w:lvl>
    <w:lvl w:ilvl="3" w:tentative="0">
      <w:start w:val="1"/>
      <w:numFmt w:val="decimal"/>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15">
    <w:nsid w:val="3D294270"/>
    <w:multiLevelType w:val="singleLevel"/>
    <w:tmpl w:val="3D294270"/>
    <w:lvl w:ilvl="0" w:tentative="0">
      <w:start w:val="1"/>
      <w:numFmt w:val="chineseCounting"/>
      <w:suff w:val="nothing"/>
      <w:lvlText w:val="（%1）"/>
      <w:lvlJc w:val="left"/>
      <w:pPr>
        <w:ind w:left="0" w:firstLine="420"/>
      </w:pPr>
      <w:rPr>
        <w:rFonts w:hint="eastAsia"/>
      </w:rPr>
    </w:lvl>
  </w:abstractNum>
  <w:abstractNum w:abstractNumId="16">
    <w:nsid w:val="40872916"/>
    <w:multiLevelType w:val="singleLevel"/>
    <w:tmpl w:val="40872916"/>
    <w:lvl w:ilvl="0" w:tentative="0">
      <w:start w:val="1"/>
      <w:numFmt w:val="decimal"/>
      <w:suff w:val="nothing"/>
      <w:lvlText w:val="%1．"/>
      <w:lvlJc w:val="left"/>
      <w:pPr>
        <w:ind w:left="0" w:firstLine="400"/>
      </w:pPr>
      <w:rPr>
        <w:rFonts w:hint="default"/>
      </w:rPr>
    </w:lvl>
  </w:abstractNum>
  <w:abstractNum w:abstractNumId="17">
    <w:nsid w:val="5E929EBA"/>
    <w:multiLevelType w:val="singleLevel"/>
    <w:tmpl w:val="5E929EBA"/>
    <w:lvl w:ilvl="0" w:tentative="0">
      <w:start w:val="1"/>
      <w:numFmt w:val="bullet"/>
      <w:pStyle w:val="17"/>
      <w:lvlText w:val=""/>
      <w:lvlJc w:val="left"/>
      <w:pPr>
        <w:tabs>
          <w:tab w:val="left" w:pos="780"/>
        </w:tabs>
        <w:ind w:left="780" w:hanging="360"/>
      </w:pPr>
      <w:rPr>
        <w:rFonts w:hint="default" w:ascii="Wingdings" w:hAnsi="Wingdings"/>
      </w:rPr>
    </w:lvl>
  </w:abstractNum>
  <w:abstractNum w:abstractNumId="18">
    <w:nsid w:val="60194E51"/>
    <w:multiLevelType w:val="singleLevel"/>
    <w:tmpl w:val="60194E51"/>
    <w:lvl w:ilvl="0" w:tentative="0">
      <w:start w:val="1"/>
      <w:numFmt w:val="chineseCounting"/>
      <w:suff w:val="nothing"/>
      <w:lvlText w:val="（%1）"/>
      <w:lvlJc w:val="left"/>
      <w:pPr>
        <w:ind w:left="0" w:firstLine="420"/>
      </w:pPr>
      <w:rPr>
        <w:rFonts w:hint="eastAsia"/>
      </w:rPr>
    </w:lvl>
  </w:abstractNum>
  <w:abstractNum w:abstractNumId="19">
    <w:nsid w:val="6204CD7E"/>
    <w:multiLevelType w:val="singleLevel"/>
    <w:tmpl w:val="6204CD7E"/>
    <w:lvl w:ilvl="0" w:tentative="0">
      <w:start w:val="1"/>
      <w:numFmt w:val="decimal"/>
      <w:suff w:val="space"/>
      <w:lvlText w:val="(%1)"/>
      <w:lvlJc w:val="left"/>
      <w:pPr>
        <w:ind w:left="0" w:leftChars="0" w:firstLine="454" w:firstLineChars="0"/>
      </w:pPr>
      <w:rPr>
        <w:rFonts w:hint="default" w:ascii="宋体" w:hAnsi="宋体" w:eastAsia="宋体" w:cs="宋体"/>
      </w:rPr>
    </w:lvl>
  </w:abstractNum>
  <w:abstractNum w:abstractNumId="20">
    <w:nsid w:val="65F25831"/>
    <w:multiLevelType w:val="singleLevel"/>
    <w:tmpl w:val="65F25831"/>
    <w:lvl w:ilvl="0" w:tentative="0">
      <w:start w:val="1"/>
      <w:numFmt w:val="decimal"/>
      <w:suff w:val="nothing"/>
      <w:lvlText w:val="%1．"/>
      <w:lvlJc w:val="left"/>
      <w:pPr>
        <w:ind w:left="0" w:firstLine="400"/>
      </w:pPr>
      <w:rPr>
        <w:rFonts w:hint="default"/>
      </w:rPr>
    </w:lvl>
  </w:abstractNum>
  <w:abstractNum w:abstractNumId="21">
    <w:nsid w:val="6607547B"/>
    <w:multiLevelType w:val="multilevel"/>
    <w:tmpl w:val="6607547B"/>
    <w:lvl w:ilvl="0" w:tentative="0">
      <w:start w:val="1"/>
      <w:numFmt w:val="bullet"/>
      <w:pStyle w:val="103"/>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2">
    <w:nsid w:val="7458358D"/>
    <w:multiLevelType w:val="multilevel"/>
    <w:tmpl w:val="7458358D"/>
    <w:lvl w:ilvl="0" w:tentative="0">
      <w:start w:val="1"/>
      <w:numFmt w:val="chineseCountingThousand"/>
      <w:lvlText w:val="%1、"/>
      <w:lvlJc w:val="left"/>
      <w:pPr>
        <w:ind w:left="431" w:hanging="431"/>
      </w:pPr>
      <w:rPr>
        <w:rFonts w:hint="default" w:cs="Times New Roman"/>
        <w:b/>
        <w:i w:val="0"/>
        <w:iCs w:val="0"/>
        <w:caps w:val="0"/>
        <w:strike w:val="0"/>
        <w:dstrike w:val="0"/>
        <w:outline w:val="0"/>
        <w:shadow w:val="0"/>
        <w:emboss w:val="0"/>
        <w:imprint w:val="0"/>
        <w:vanish w:val="0"/>
        <w:spacing w:val="0"/>
        <w:kern w:val="0"/>
        <w:position w:val="0"/>
        <w:sz w:val="21"/>
        <w:szCs w:val="32"/>
        <w:u w:val="none"/>
        <w:vertAlign w:val="baseline"/>
      </w:rPr>
    </w:lvl>
    <w:lvl w:ilvl="1" w:tentative="0">
      <w:start w:val="1"/>
      <w:numFmt w:val="decimal"/>
      <w:pStyle w:val="3"/>
      <w:suff w:val="space"/>
      <w:lvlText w:val="%1.%2"/>
      <w:lvlJc w:val="left"/>
      <w:pPr>
        <w:ind w:left="851" w:hanging="567"/>
      </w:pPr>
      <w:rPr>
        <w:rFonts w:hint="default" w:ascii="Arial" w:hAnsi="Arial" w:eastAsia="黑体"/>
        <w:b/>
        <w:i w:val="0"/>
        <w:sz w:val="28"/>
        <w:szCs w:val="28"/>
      </w:rPr>
    </w:lvl>
    <w:lvl w:ilvl="2" w:tentative="0">
      <w:start w:val="1"/>
      <w:numFmt w:val="decimal"/>
      <w:pStyle w:val="4"/>
      <w:suff w:val="space"/>
      <w:lvlText w:val="%1.%2.%3"/>
      <w:lvlJc w:val="left"/>
      <w:pPr>
        <w:ind w:left="720" w:hanging="720"/>
      </w:pPr>
      <w:rPr>
        <w:rFonts w:hint="default" w:ascii="Arial" w:hAnsi="Arial" w:eastAsia="黑体"/>
        <w:b/>
        <w:i w:val="0"/>
        <w:sz w:val="28"/>
        <w:szCs w:val="28"/>
      </w:rPr>
    </w:lvl>
    <w:lvl w:ilvl="3" w:tentative="0">
      <w:start w:val="1"/>
      <w:numFmt w:val="decimal"/>
      <w:suff w:val="space"/>
      <w:lvlText w:val="%1.%2.%3.%4"/>
      <w:lvlJc w:val="left"/>
      <w:pPr>
        <w:ind w:left="864" w:hanging="864"/>
      </w:pPr>
      <w:rPr>
        <w:rFonts w:hint="default" w:ascii="Arial" w:hAnsi="Arial" w:eastAsia="黑体"/>
        <w:b/>
        <w:i w:val="0"/>
        <w:sz w:val="30"/>
        <w:szCs w:val="30"/>
      </w:rPr>
    </w:lvl>
    <w:lvl w:ilvl="4" w:tentative="0">
      <w:start w:val="1"/>
      <w:numFmt w:val="decimal"/>
      <w:suff w:val="space"/>
      <w:lvlText w:val="%1.%2.%3.%4.%5"/>
      <w:lvlJc w:val="left"/>
      <w:pPr>
        <w:ind w:left="1008" w:hanging="1008"/>
      </w:pPr>
      <w:rPr>
        <w:rFonts w:hint="default" w:ascii="Arial" w:hAnsi="Arial" w:eastAsia="黑体"/>
        <w:b/>
        <w:i w:val="0"/>
        <w:sz w:val="28"/>
        <w:szCs w:val="28"/>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3">
    <w:nsid w:val="7591021C"/>
    <w:multiLevelType w:val="singleLevel"/>
    <w:tmpl w:val="7591021C"/>
    <w:lvl w:ilvl="0" w:tentative="0">
      <w:start w:val="1"/>
      <w:numFmt w:val="decimalEnclosedCircleChinese"/>
      <w:suff w:val="nothing"/>
      <w:lvlText w:val="%1　"/>
      <w:lvlJc w:val="left"/>
      <w:pPr>
        <w:ind w:left="0" w:firstLine="454"/>
      </w:pPr>
      <w:rPr>
        <w:rFonts w:hint="eastAsia"/>
      </w:rPr>
    </w:lvl>
  </w:abstractNum>
  <w:abstractNum w:abstractNumId="24">
    <w:nsid w:val="7646F5E5"/>
    <w:multiLevelType w:val="singleLevel"/>
    <w:tmpl w:val="7646F5E5"/>
    <w:lvl w:ilvl="0" w:tentative="0">
      <w:start w:val="1"/>
      <w:numFmt w:val="decimal"/>
      <w:suff w:val="nothing"/>
      <w:lvlText w:val="%1．"/>
      <w:lvlJc w:val="left"/>
      <w:pPr>
        <w:ind w:left="0" w:firstLine="400"/>
      </w:pPr>
      <w:rPr>
        <w:rFonts w:hint="default"/>
      </w:rPr>
    </w:lvl>
  </w:abstractNum>
  <w:num w:numId="1">
    <w:abstractNumId w:val="22"/>
  </w:num>
  <w:num w:numId="2">
    <w:abstractNumId w:val="17"/>
  </w:num>
  <w:num w:numId="3">
    <w:abstractNumId w:val="21"/>
  </w:num>
  <w:num w:numId="4">
    <w:abstractNumId w:val="14"/>
  </w:num>
  <w:num w:numId="5">
    <w:abstractNumId w:val="13"/>
  </w:num>
  <w:num w:numId="6">
    <w:abstractNumId w:val="1"/>
  </w:num>
  <w:num w:numId="7">
    <w:abstractNumId w:val="12"/>
  </w:num>
  <w:num w:numId="8">
    <w:abstractNumId w:val="0"/>
  </w:num>
  <w:num w:numId="9">
    <w:abstractNumId w:val="3"/>
  </w:num>
  <w:num w:numId="10">
    <w:abstractNumId w:val="19"/>
  </w:num>
  <w:num w:numId="11">
    <w:abstractNumId w:val="23"/>
  </w:num>
  <w:num w:numId="12">
    <w:abstractNumId w:val="5"/>
  </w:num>
  <w:num w:numId="13">
    <w:abstractNumId w:val="20"/>
  </w:num>
  <w:num w:numId="14">
    <w:abstractNumId w:val="11"/>
  </w:num>
  <w:num w:numId="15">
    <w:abstractNumId w:val="10"/>
  </w:num>
  <w:num w:numId="16">
    <w:abstractNumId w:val="9"/>
  </w:num>
  <w:num w:numId="17">
    <w:abstractNumId w:val="8"/>
  </w:num>
  <w:num w:numId="18">
    <w:abstractNumId w:val="18"/>
  </w:num>
  <w:num w:numId="19">
    <w:abstractNumId w:val="24"/>
  </w:num>
  <w:num w:numId="20">
    <w:abstractNumId w:val="6"/>
  </w:num>
  <w:num w:numId="21">
    <w:abstractNumId w:val="15"/>
  </w:num>
  <w:num w:numId="22">
    <w:abstractNumId w:val="16"/>
  </w:num>
  <w:num w:numId="23">
    <w:abstractNumId w:val="7"/>
  </w:num>
  <w:num w:numId="24">
    <w:abstractNumId w:val="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ZjY0NjFhYTdhM2E1MjM3YmYxNDBkNWE3NzU4OGUifQ=="/>
  </w:docVars>
  <w:rsids>
    <w:rsidRoot w:val="00172A27"/>
    <w:rsid w:val="000019C0"/>
    <w:rsid w:val="00005E6E"/>
    <w:rsid w:val="00007D25"/>
    <w:rsid w:val="0001020A"/>
    <w:rsid w:val="00014890"/>
    <w:rsid w:val="00020C65"/>
    <w:rsid w:val="000230C2"/>
    <w:rsid w:val="00025D01"/>
    <w:rsid w:val="00026B8D"/>
    <w:rsid w:val="0002713F"/>
    <w:rsid w:val="00030DEB"/>
    <w:rsid w:val="00030EDB"/>
    <w:rsid w:val="000331D9"/>
    <w:rsid w:val="00033E6F"/>
    <w:rsid w:val="0003498A"/>
    <w:rsid w:val="000364ED"/>
    <w:rsid w:val="00037C5C"/>
    <w:rsid w:val="00043982"/>
    <w:rsid w:val="000501AB"/>
    <w:rsid w:val="0005057F"/>
    <w:rsid w:val="0005461D"/>
    <w:rsid w:val="00055C49"/>
    <w:rsid w:val="0005601C"/>
    <w:rsid w:val="000630A3"/>
    <w:rsid w:val="00064477"/>
    <w:rsid w:val="0009143A"/>
    <w:rsid w:val="0009296E"/>
    <w:rsid w:val="000A0255"/>
    <w:rsid w:val="000A22CA"/>
    <w:rsid w:val="000A2F11"/>
    <w:rsid w:val="000A4164"/>
    <w:rsid w:val="000B77F1"/>
    <w:rsid w:val="000C0061"/>
    <w:rsid w:val="000C1CD5"/>
    <w:rsid w:val="000C72B8"/>
    <w:rsid w:val="000D2D26"/>
    <w:rsid w:val="000E56D9"/>
    <w:rsid w:val="000E6A96"/>
    <w:rsid w:val="000F6519"/>
    <w:rsid w:val="001034D3"/>
    <w:rsid w:val="001044D2"/>
    <w:rsid w:val="001058CC"/>
    <w:rsid w:val="00125695"/>
    <w:rsid w:val="00127EF3"/>
    <w:rsid w:val="00137FC8"/>
    <w:rsid w:val="001576A2"/>
    <w:rsid w:val="0016427C"/>
    <w:rsid w:val="00165EE7"/>
    <w:rsid w:val="001668E3"/>
    <w:rsid w:val="0016770E"/>
    <w:rsid w:val="00167C66"/>
    <w:rsid w:val="00172A27"/>
    <w:rsid w:val="001730CE"/>
    <w:rsid w:val="001846A1"/>
    <w:rsid w:val="001907F8"/>
    <w:rsid w:val="00196D12"/>
    <w:rsid w:val="001A0514"/>
    <w:rsid w:val="001A5C95"/>
    <w:rsid w:val="001B54EF"/>
    <w:rsid w:val="001E1132"/>
    <w:rsid w:val="001E2166"/>
    <w:rsid w:val="001E2C38"/>
    <w:rsid w:val="001E37B7"/>
    <w:rsid w:val="001E6572"/>
    <w:rsid w:val="001F4E4C"/>
    <w:rsid w:val="00200AB4"/>
    <w:rsid w:val="0020662D"/>
    <w:rsid w:val="002119D7"/>
    <w:rsid w:val="002211CF"/>
    <w:rsid w:val="00223153"/>
    <w:rsid w:val="00230DF0"/>
    <w:rsid w:val="002335EA"/>
    <w:rsid w:val="0024323A"/>
    <w:rsid w:val="00245070"/>
    <w:rsid w:val="0024555A"/>
    <w:rsid w:val="00246BEC"/>
    <w:rsid w:val="00246F4C"/>
    <w:rsid w:val="0024763C"/>
    <w:rsid w:val="00250550"/>
    <w:rsid w:val="00251D06"/>
    <w:rsid w:val="00254988"/>
    <w:rsid w:val="00255987"/>
    <w:rsid w:val="00263341"/>
    <w:rsid w:val="0027213B"/>
    <w:rsid w:val="00273BDC"/>
    <w:rsid w:val="00285783"/>
    <w:rsid w:val="00292B39"/>
    <w:rsid w:val="00297521"/>
    <w:rsid w:val="002A017F"/>
    <w:rsid w:val="002A410A"/>
    <w:rsid w:val="002A6AB3"/>
    <w:rsid w:val="002A6BDE"/>
    <w:rsid w:val="002B3B7E"/>
    <w:rsid w:val="002B709D"/>
    <w:rsid w:val="002B7AD1"/>
    <w:rsid w:val="002C5259"/>
    <w:rsid w:val="002C7385"/>
    <w:rsid w:val="002D10E7"/>
    <w:rsid w:val="002D1702"/>
    <w:rsid w:val="002D5601"/>
    <w:rsid w:val="002E1845"/>
    <w:rsid w:val="002E51F1"/>
    <w:rsid w:val="002E7C88"/>
    <w:rsid w:val="002F58C9"/>
    <w:rsid w:val="00301DFF"/>
    <w:rsid w:val="003023D4"/>
    <w:rsid w:val="003027CF"/>
    <w:rsid w:val="00305ABF"/>
    <w:rsid w:val="00307F65"/>
    <w:rsid w:val="00313754"/>
    <w:rsid w:val="00322013"/>
    <w:rsid w:val="003263B3"/>
    <w:rsid w:val="00327129"/>
    <w:rsid w:val="00335438"/>
    <w:rsid w:val="00335642"/>
    <w:rsid w:val="003425DA"/>
    <w:rsid w:val="00343D86"/>
    <w:rsid w:val="00346383"/>
    <w:rsid w:val="00361FEA"/>
    <w:rsid w:val="003627B3"/>
    <w:rsid w:val="003627BF"/>
    <w:rsid w:val="00364779"/>
    <w:rsid w:val="00365754"/>
    <w:rsid w:val="00367B30"/>
    <w:rsid w:val="003714BD"/>
    <w:rsid w:val="00375C05"/>
    <w:rsid w:val="00376AF7"/>
    <w:rsid w:val="00380814"/>
    <w:rsid w:val="00382442"/>
    <w:rsid w:val="0038516A"/>
    <w:rsid w:val="003903A2"/>
    <w:rsid w:val="00392B26"/>
    <w:rsid w:val="003A220A"/>
    <w:rsid w:val="003A359C"/>
    <w:rsid w:val="003A7F58"/>
    <w:rsid w:val="003C3B82"/>
    <w:rsid w:val="003D6D88"/>
    <w:rsid w:val="003E5365"/>
    <w:rsid w:val="003E5E22"/>
    <w:rsid w:val="003E7761"/>
    <w:rsid w:val="00402ECA"/>
    <w:rsid w:val="004145D2"/>
    <w:rsid w:val="00420A7D"/>
    <w:rsid w:val="004218C8"/>
    <w:rsid w:val="004253F5"/>
    <w:rsid w:val="00425826"/>
    <w:rsid w:val="00443F99"/>
    <w:rsid w:val="004564BC"/>
    <w:rsid w:val="00461E38"/>
    <w:rsid w:val="00462A9D"/>
    <w:rsid w:val="00463F0D"/>
    <w:rsid w:val="004716A9"/>
    <w:rsid w:val="00471B4B"/>
    <w:rsid w:val="00472F78"/>
    <w:rsid w:val="00475065"/>
    <w:rsid w:val="004751C3"/>
    <w:rsid w:val="00480AAD"/>
    <w:rsid w:val="00480B1F"/>
    <w:rsid w:val="00493AE2"/>
    <w:rsid w:val="0049568A"/>
    <w:rsid w:val="004A379C"/>
    <w:rsid w:val="004A5A08"/>
    <w:rsid w:val="004B1EF9"/>
    <w:rsid w:val="004C1807"/>
    <w:rsid w:val="004C5637"/>
    <w:rsid w:val="004D348A"/>
    <w:rsid w:val="004D495D"/>
    <w:rsid w:val="004E3BE6"/>
    <w:rsid w:val="004F4841"/>
    <w:rsid w:val="00502382"/>
    <w:rsid w:val="0051416B"/>
    <w:rsid w:val="00516709"/>
    <w:rsid w:val="00551E71"/>
    <w:rsid w:val="0055727C"/>
    <w:rsid w:val="0057433B"/>
    <w:rsid w:val="00577078"/>
    <w:rsid w:val="00577FA0"/>
    <w:rsid w:val="00593904"/>
    <w:rsid w:val="005A52A9"/>
    <w:rsid w:val="005A54DE"/>
    <w:rsid w:val="005A5850"/>
    <w:rsid w:val="005B30AF"/>
    <w:rsid w:val="005B32FB"/>
    <w:rsid w:val="005B4240"/>
    <w:rsid w:val="005B4574"/>
    <w:rsid w:val="005B68FA"/>
    <w:rsid w:val="005D3427"/>
    <w:rsid w:val="005D6AC0"/>
    <w:rsid w:val="005E0FC4"/>
    <w:rsid w:val="005E3B33"/>
    <w:rsid w:val="005F0046"/>
    <w:rsid w:val="005F0733"/>
    <w:rsid w:val="005F12B7"/>
    <w:rsid w:val="005F5BF6"/>
    <w:rsid w:val="006005D1"/>
    <w:rsid w:val="00601B72"/>
    <w:rsid w:val="006039C8"/>
    <w:rsid w:val="006058C4"/>
    <w:rsid w:val="00607A23"/>
    <w:rsid w:val="00610DA3"/>
    <w:rsid w:val="00623320"/>
    <w:rsid w:val="006263E6"/>
    <w:rsid w:val="00633A95"/>
    <w:rsid w:val="006462A5"/>
    <w:rsid w:val="00661737"/>
    <w:rsid w:val="00663F7B"/>
    <w:rsid w:val="0066614C"/>
    <w:rsid w:val="00671FA3"/>
    <w:rsid w:val="00673D67"/>
    <w:rsid w:val="00676312"/>
    <w:rsid w:val="00677EBE"/>
    <w:rsid w:val="006823E6"/>
    <w:rsid w:val="00693368"/>
    <w:rsid w:val="006951DB"/>
    <w:rsid w:val="00697B16"/>
    <w:rsid w:val="006B5E2B"/>
    <w:rsid w:val="006C0C9A"/>
    <w:rsid w:val="006C2E2C"/>
    <w:rsid w:val="006D7999"/>
    <w:rsid w:val="006E0E28"/>
    <w:rsid w:val="006F1536"/>
    <w:rsid w:val="006F6381"/>
    <w:rsid w:val="0070025B"/>
    <w:rsid w:val="00713DEA"/>
    <w:rsid w:val="00720170"/>
    <w:rsid w:val="00721072"/>
    <w:rsid w:val="007270CE"/>
    <w:rsid w:val="00730B81"/>
    <w:rsid w:val="0073562C"/>
    <w:rsid w:val="0074004C"/>
    <w:rsid w:val="007408A5"/>
    <w:rsid w:val="007418BD"/>
    <w:rsid w:val="00745DFA"/>
    <w:rsid w:val="00750B40"/>
    <w:rsid w:val="00756B64"/>
    <w:rsid w:val="007603F4"/>
    <w:rsid w:val="007617BF"/>
    <w:rsid w:val="007701BF"/>
    <w:rsid w:val="00772B32"/>
    <w:rsid w:val="00791C72"/>
    <w:rsid w:val="007A2EFB"/>
    <w:rsid w:val="007A5DFE"/>
    <w:rsid w:val="007B273A"/>
    <w:rsid w:val="007B2C11"/>
    <w:rsid w:val="007B3A4C"/>
    <w:rsid w:val="007B590F"/>
    <w:rsid w:val="007B6C63"/>
    <w:rsid w:val="007C00B9"/>
    <w:rsid w:val="007C1DF2"/>
    <w:rsid w:val="007C27D4"/>
    <w:rsid w:val="007C5883"/>
    <w:rsid w:val="007D3281"/>
    <w:rsid w:val="007D6EB2"/>
    <w:rsid w:val="007E136C"/>
    <w:rsid w:val="007E19BA"/>
    <w:rsid w:val="007E49AA"/>
    <w:rsid w:val="007F0DD4"/>
    <w:rsid w:val="007F3DF5"/>
    <w:rsid w:val="007F5486"/>
    <w:rsid w:val="007F67ED"/>
    <w:rsid w:val="00803647"/>
    <w:rsid w:val="00804681"/>
    <w:rsid w:val="008075FB"/>
    <w:rsid w:val="0081258C"/>
    <w:rsid w:val="00826ACF"/>
    <w:rsid w:val="00830898"/>
    <w:rsid w:val="00836B63"/>
    <w:rsid w:val="00856255"/>
    <w:rsid w:val="008656DE"/>
    <w:rsid w:val="00867902"/>
    <w:rsid w:val="00871A87"/>
    <w:rsid w:val="008757ED"/>
    <w:rsid w:val="00881C5B"/>
    <w:rsid w:val="00884235"/>
    <w:rsid w:val="008902E7"/>
    <w:rsid w:val="008975FB"/>
    <w:rsid w:val="008A2A68"/>
    <w:rsid w:val="008A6042"/>
    <w:rsid w:val="008B2F0E"/>
    <w:rsid w:val="008B74F0"/>
    <w:rsid w:val="008C20AE"/>
    <w:rsid w:val="008D0AD3"/>
    <w:rsid w:val="008D68A0"/>
    <w:rsid w:val="008E1A4F"/>
    <w:rsid w:val="008E3AB9"/>
    <w:rsid w:val="008E68EE"/>
    <w:rsid w:val="008E7FCB"/>
    <w:rsid w:val="008F2A60"/>
    <w:rsid w:val="008F572D"/>
    <w:rsid w:val="00920789"/>
    <w:rsid w:val="00920BA6"/>
    <w:rsid w:val="00927C99"/>
    <w:rsid w:val="00952D5A"/>
    <w:rsid w:val="00957669"/>
    <w:rsid w:val="00960CA2"/>
    <w:rsid w:val="00963830"/>
    <w:rsid w:val="009651A0"/>
    <w:rsid w:val="00970D8F"/>
    <w:rsid w:val="00973A82"/>
    <w:rsid w:val="00974AE3"/>
    <w:rsid w:val="00986D27"/>
    <w:rsid w:val="00986F99"/>
    <w:rsid w:val="00990D24"/>
    <w:rsid w:val="009A21AF"/>
    <w:rsid w:val="009A38E2"/>
    <w:rsid w:val="009A751C"/>
    <w:rsid w:val="009B51EC"/>
    <w:rsid w:val="009B6A3A"/>
    <w:rsid w:val="009C1240"/>
    <w:rsid w:val="009C3DE3"/>
    <w:rsid w:val="009C509B"/>
    <w:rsid w:val="009C6F8D"/>
    <w:rsid w:val="009D2803"/>
    <w:rsid w:val="009D6EAF"/>
    <w:rsid w:val="009E19AE"/>
    <w:rsid w:val="009E3DDC"/>
    <w:rsid w:val="009E4B9B"/>
    <w:rsid w:val="009E741A"/>
    <w:rsid w:val="009F66F4"/>
    <w:rsid w:val="00A04163"/>
    <w:rsid w:val="00A236EE"/>
    <w:rsid w:val="00A25B37"/>
    <w:rsid w:val="00A3636C"/>
    <w:rsid w:val="00A4003E"/>
    <w:rsid w:val="00A41612"/>
    <w:rsid w:val="00A51774"/>
    <w:rsid w:val="00A55F85"/>
    <w:rsid w:val="00A5775D"/>
    <w:rsid w:val="00A632CA"/>
    <w:rsid w:val="00A758C0"/>
    <w:rsid w:val="00A929BA"/>
    <w:rsid w:val="00A9434B"/>
    <w:rsid w:val="00AA555A"/>
    <w:rsid w:val="00AB525E"/>
    <w:rsid w:val="00AB6A34"/>
    <w:rsid w:val="00AB6E4A"/>
    <w:rsid w:val="00AC5138"/>
    <w:rsid w:val="00AC575E"/>
    <w:rsid w:val="00AC6A6E"/>
    <w:rsid w:val="00AD65CC"/>
    <w:rsid w:val="00AE4496"/>
    <w:rsid w:val="00AE5A59"/>
    <w:rsid w:val="00AF3E25"/>
    <w:rsid w:val="00B01D59"/>
    <w:rsid w:val="00B041B7"/>
    <w:rsid w:val="00B137BC"/>
    <w:rsid w:val="00B13FB7"/>
    <w:rsid w:val="00B22BA3"/>
    <w:rsid w:val="00B33FDF"/>
    <w:rsid w:val="00B34B91"/>
    <w:rsid w:val="00B415E7"/>
    <w:rsid w:val="00B60C3F"/>
    <w:rsid w:val="00B61112"/>
    <w:rsid w:val="00B63DCD"/>
    <w:rsid w:val="00B707FD"/>
    <w:rsid w:val="00B76A59"/>
    <w:rsid w:val="00B77A90"/>
    <w:rsid w:val="00B81DAE"/>
    <w:rsid w:val="00B84E5D"/>
    <w:rsid w:val="00B97FBD"/>
    <w:rsid w:val="00BB00EE"/>
    <w:rsid w:val="00BB18ED"/>
    <w:rsid w:val="00BB25D3"/>
    <w:rsid w:val="00BB47FE"/>
    <w:rsid w:val="00BB571F"/>
    <w:rsid w:val="00BB71EB"/>
    <w:rsid w:val="00BC2A7D"/>
    <w:rsid w:val="00BC702E"/>
    <w:rsid w:val="00BD4032"/>
    <w:rsid w:val="00BD5C25"/>
    <w:rsid w:val="00BF40C7"/>
    <w:rsid w:val="00C02E20"/>
    <w:rsid w:val="00C122CB"/>
    <w:rsid w:val="00C123F6"/>
    <w:rsid w:val="00C14E04"/>
    <w:rsid w:val="00C24AA4"/>
    <w:rsid w:val="00C2780C"/>
    <w:rsid w:val="00C315A0"/>
    <w:rsid w:val="00C37562"/>
    <w:rsid w:val="00C41ADB"/>
    <w:rsid w:val="00C45EAD"/>
    <w:rsid w:val="00C4767D"/>
    <w:rsid w:val="00C52BA3"/>
    <w:rsid w:val="00C52EC3"/>
    <w:rsid w:val="00C551F6"/>
    <w:rsid w:val="00C567D8"/>
    <w:rsid w:val="00C61265"/>
    <w:rsid w:val="00C6205B"/>
    <w:rsid w:val="00C65E3A"/>
    <w:rsid w:val="00C75D6B"/>
    <w:rsid w:val="00C767FF"/>
    <w:rsid w:val="00C87D28"/>
    <w:rsid w:val="00C90B34"/>
    <w:rsid w:val="00C933AC"/>
    <w:rsid w:val="00C94B36"/>
    <w:rsid w:val="00CA15C5"/>
    <w:rsid w:val="00CB5834"/>
    <w:rsid w:val="00CB5C0F"/>
    <w:rsid w:val="00CB70BE"/>
    <w:rsid w:val="00CC26FE"/>
    <w:rsid w:val="00CC498A"/>
    <w:rsid w:val="00CD0817"/>
    <w:rsid w:val="00CD4C1B"/>
    <w:rsid w:val="00CD620C"/>
    <w:rsid w:val="00CE1044"/>
    <w:rsid w:val="00CE2814"/>
    <w:rsid w:val="00CF013C"/>
    <w:rsid w:val="00CF01C3"/>
    <w:rsid w:val="00D05A20"/>
    <w:rsid w:val="00D1539F"/>
    <w:rsid w:val="00D239E5"/>
    <w:rsid w:val="00D32713"/>
    <w:rsid w:val="00D42281"/>
    <w:rsid w:val="00D43768"/>
    <w:rsid w:val="00D60E8F"/>
    <w:rsid w:val="00DA0464"/>
    <w:rsid w:val="00DB3030"/>
    <w:rsid w:val="00DB386A"/>
    <w:rsid w:val="00DB68F4"/>
    <w:rsid w:val="00DC5DD8"/>
    <w:rsid w:val="00DC6555"/>
    <w:rsid w:val="00DC715B"/>
    <w:rsid w:val="00DD142C"/>
    <w:rsid w:val="00DD4670"/>
    <w:rsid w:val="00DE6968"/>
    <w:rsid w:val="00DF1158"/>
    <w:rsid w:val="00E00FEC"/>
    <w:rsid w:val="00E103D1"/>
    <w:rsid w:val="00E206B8"/>
    <w:rsid w:val="00E22AAF"/>
    <w:rsid w:val="00E32AC6"/>
    <w:rsid w:val="00E35949"/>
    <w:rsid w:val="00E42A08"/>
    <w:rsid w:val="00E42E49"/>
    <w:rsid w:val="00E43018"/>
    <w:rsid w:val="00E530D0"/>
    <w:rsid w:val="00E60CA5"/>
    <w:rsid w:val="00E67802"/>
    <w:rsid w:val="00E71638"/>
    <w:rsid w:val="00E76934"/>
    <w:rsid w:val="00E76F5E"/>
    <w:rsid w:val="00E85B6E"/>
    <w:rsid w:val="00E939A6"/>
    <w:rsid w:val="00E975B4"/>
    <w:rsid w:val="00EA66B6"/>
    <w:rsid w:val="00EB2F61"/>
    <w:rsid w:val="00EC5569"/>
    <w:rsid w:val="00ED340C"/>
    <w:rsid w:val="00ED50B0"/>
    <w:rsid w:val="00EE0B3F"/>
    <w:rsid w:val="00EE2B02"/>
    <w:rsid w:val="00EE6300"/>
    <w:rsid w:val="00EF4E9D"/>
    <w:rsid w:val="00F03817"/>
    <w:rsid w:val="00F03ECC"/>
    <w:rsid w:val="00F11211"/>
    <w:rsid w:val="00F11CE1"/>
    <w:rsid w:val="00F1674B"/>
    <w:rsid w:val="00F22F36"/>
    <w:rsid w:val="00F306AC"/>
    <w:rsid w:val="00F47605"/>
    <w:rsid w:val="00F53EE8"/>
    <w:rsid w:val="00F54E06"/>
    <w:rsid w:val="00F56155"/>
    <w:rsid w:val="00F70A38"/>
    <w:rsid w:val="00F80FD5"/>
    <w:rsid w:val="00F938F3"/>
    <w:rsid w:val="00FA0504"/>
    <w:rsid w:val="00FA1260"/>
    <w:rsid w:val="00FA3820"/>
    <w:rsid w:val="00FB0910"/>
    <w:rsid w:val="00FB5806"/>
    <w:rsid w:val="00FB6CBD"/>
    <w:rsid w:val="00FD2B76"/>
    <w:rsid w:val="00FD4826"/>
    <w:rsid w:val="00FF3189"/>
    <w:rsid w:val="010A3F89"/>
    <w:rsid w:val="01147664"/>
    <w:rsid w:val="012B3C4B"/>
    <w:rsid w:val="014852B3"/>
    <w:rsid w:val="014A20AA"/>
    <w:rsid w:val="014F6641"/>
    <w:rsid w:val="015661FD"/>
    <w:rsid w:val="015754F6"/>
    <w:rsid w:val="016A385C"/>
    <w:rsid w:val="017E6F26"/>
    <w:rsid w:val="0190002F"/>
    <w:rsid w:val="01AE228E"/>
    <w:rsid w:val="01AF3871"/>
    <w:rsid w:val="01B2363B"/>
    <w:rsid w:val="01E62509"/>
    <w:rsid w:val="01FC1D65"/>
    <w:rsid w:val="02391CBE"/>
    <w:rsid w:val="0261662C"/>
    <w:rsid w:val="02864546"/>
    <w:rsid w:val="0295174E"/>
    <w:rsid w:val="02A129E4"/>
    <w:rsid w:val="02C32E43"/>
    <w:rsid w:val="0318608E"/>
    <w:rsid w:val="0327540B"/>
    <w:rsid w:val="033F7FE7"/>
    <w:rsid w:val="0366524E"/>
    <w:rsid w:val="03774BB7"/>
    <w:rsid w:val="037F7583"/>
    <w:rsid w:val="03803476"/>
    <w:rsid w:val="039769BC"/>
    <w:rsid w:val="039F3184"/>
    <w:rsid w:val="03A82D1C"/>
    <w:rsid w:val="03D17ED7"/>
    <w:rsid w:val="03DB186A"/>
    <w:rsid w:val="03DF1EFE"/>
    <w:rsid w:val="0400691B"/>
    <w:rsid w:val="04025AD9"/>
    <w:rsid w:val="041B7F09"/>
    <w:rsid w:val="0443753C"/>
    <w:rsid w:val="045A5870"/>
    <w:rsid w:val="047249C9"/>
    <w:rsid w:val="04744FA3"/>
    <w:rsid w:val="04812218"/>
    <w:rsid w:val="048C54B6"/>
    <w:rsid w:val="04903AD9"/>
    <w:rsid w:val="04B87651"/>
    <w:rsid w:val="04B94150"/>
    <w:rsid w:val="0529090D"/>
    <w:rsid w:val="053262C9"/>
    <w:rsid w:val="05540E61"/>
    <w:rsid w:val="05621969"/>
    <w:rsid w:val="056260C9"/>
    <w:rsid w:val="056D1FD6"/>
    <w:rsid w:val="058014BF"/>
    <w:rsid w:val="059252BD"/>
    <w:rsid w:val="059960EF"/>
    <w:rsid w:val="059D1295"/>
    <w:rsid w:val="05A36F5B"/>
    <w:rsid w:val="05A73AFD"/>
    <w:rsid w:val="05A8296F"/>
    <w:rsid w:val="05A84572"/>
    <w:rsid w:val="05C07B0D"/>
    <w:rsid w:val="05C77851"/>
    <w:rsid w:val="05C926CC"/>
    <w:rsid w:val="05D84E57"/>
    <w:rsid w:val="05E4431E"/>
    <w:rsid w:val="061B066C"/>
    <w:rsid w:val="06492499"/>
    <w:rsid w:val="064A7E91"/>
    <w:rsid w:val="06810BA8"/>
    <w:rsid w:val="068E55C1"/>
    <w:rsid w:val="06911C3B"/>
    <w:rsid w:val="06AF5879"/>
    <w:rsid w:val="06D42563"/>
    <w:rsid w:val="06D6062D"/>
    <w:rsid w:val="06EE6E7F"/>
    <w:rsid w:val="070236A1"/>
    <w:rsid w:val="070C28DE"/>
    <w:rsid w:val="07287718"/>
    <w:rsid w:val="073A5B6E"/>
    <w:rsid w:val="07661F59"/>
    <w:rsid w:val="07807B2F"/>
    <w:rsid w:val="07960924"/>
    <w:rsid w:val="07A95FE9"/>
    <w:rsid w:val="07B40EAC"/>
    <w:rsid w:val="07C17B6D"/>
    <w:rsid w:val="080F2686"/>
    <w:rsid w:val="08190F56"/>
    <w:rsid w:val="081C7B18"/>
    <w:rsid w:val="08367CC1"/>
    <w:rsid w:val="08393538"/>
    <w:rsid w:val="08456EC3"/>
    <w:rsid w:val="08480E5B"/>
    <w:rsid w:val="084D1088"/>
    <w:rsid w:val="087D1DA1"/>
    <w:rsid w:val="087E0C00"/>
    <w:rsid w:val="088A56FB"/>
    <w:rsid w:val="089D5EE4"/>
    <w:rsid w:val="08A454C4"/>
    <w:rsid w:val="08AF5C79"/>
    <w:rsid w:val="08B17DA8"/>
    <w:rsid w:val="08CB0CA3"/>
    <w:rsid w:val="08FF7E5C"/>
    <w:rsid w:val="090D5C29"/>
    <w:rsid w:val="09134A1A"/>
    <w:rsid w:val="09366338"/>
    <w:rsid w:val="093D1475"/>
    <w:rsid w:val="0941247D"/>
    <w:rsid w:val="0987515D"/>
    <w:rsid w:val="0995305F"/>
    <w:rsid w:val="09AD2157"/>
    <w:rsid w:val="09AF0299"/>
    <w:rsid w:val="09F46EC3"/>
    <w:rsid w:val="0A013B4F"/>
    <w:rsid w:val="0A036EF6"/>
    <w:rsid w:val="0A056F41"/>
    <w:rsid w:val="0A0C7686"/>
    <w:rsid w:val="0A0E148C"/>
    <w:rsid w:val="0A261F09"/>
    <w:rsid w:val="0A460EB9"/>
    <w:rsid w:val="0A4709CC"/>
    <w:rsid w:val="0A854E82"/>
    <w:rsid w:val="0A873F29"/>
    <w:rsid w:val="0A876E4C"/>
    <w:rsid w:val="0AA436FA"/>
    <w:rsid w:val="0AA43ECC"/>
    <w:rsid w:val="0AB3379D"/>
    <w:rsid w:val="0AB339F1"/>
    <w:rsid w:val="0ABB6AF5"/>
    <w:rsid w:val="0ACB5303"/>
    <w:rsid w:val="0B063495"/>
    <w:rsid w:val="0B13036D"/>
    <w:rsid w:val="0B26100F"/>
    <w:rsid w:val="0B562C66"/>
    <w:rsid w:val="0B6170E0"/>
    <w:rsid w:val="0B63054C"/>
    <w:rsid w:val="0B76745B"/>
    <w:rsid w:val="0B790F87"/>
    <w:rsid w:val="0B937386"/>
    <w:rsid w:val="0BA913B1"/>
    <w:rsid w:val="0BA92DF2"/>
    <w:rsid w:val="0BB80A2A"/>
    <w:rsid w:val="0C1500FB"/>
    <w:rsid w:val="0C1E3FB3"/>
    <w:rsid w:val="0C2C71EC"/>
    <w:rsid w:val="0C460641"/>
    <w:rsid w:val="0C646C7F"/>
    <w:rsid w:val="0C6D59CB"/>
    <w:rsid w:val="0C8147C0"/>
    <w:rsid w:val="0CA46614"/>
    <w:rsid w:val="0CDB33A0"/>
    <w:rsid w:val="0CE36C56"/>
    <w:rsid w:val="0CF419A1"/>
    <w:rsid w:val="0D051C6D"/>
    <w:rsid w:val="0D0736B4"/>
    <w:rsid w:val="0D077DD0"/>
    <w:rsid w:val="0D167985"/>
    <w:rsid w:val="0D336E17"/>
    <w:rsid w:val="0D3D4789"/>
    <w:rsid w:val="0D975B9D"/>
    <w:rsid w:val="0D9A1F60"/>
    <w:rsid w:val="0DA05E56"/>
    <w:rsid w:val="0DBF3E85"/>
    <w:rsid w:val="0DC83A03"/>
    <w:rsid w:val="0E0808D3"/>
    <w:rsid w:val="0E2826F4"/>
    <w:rsid w:val="0E3B52DE"/>
    <w:rsid w:val="0E6949F8"/>
    <w:rsid w:val="0EA63619"/>
    <w:rsid w:val="0EB75826"/>
    <w:rsid w:val="0EBE0962"/>
    <w:rsid w:val="0EE762C8"/>
    <w:rsid w:val="0EEC0458"/>
    <w:rsid w:val="0EF53995"/>
    <w:rsid w:val="0EFB2099"/>
    <w:rsid w:val="0F0634FD"/>
    <w:rsid w:val="0F221C81"/>
    <w:rsid w:val="0F3D5D2B"/>
    <w:rsid w:val="0F710468"/>
    <w:rsid w:val="0F783207"/>
    <w:rsid w:val="0F897EFA"/>
    <w:rsid w:val="0FA75CA9"/>
    <w:rsid w:val="0FC50B86"/>
    <w:rsid w:val="0FCD78B5"/>
    <w:rsid w:val="0FD0046C"/>
    <w:rsid w:val="0FED61FA"/>
    <w:rsid w:val="0FF231C2"/>
    <w:rsid w:val="100A22FD"/>
    <w:rsid w:val="101B7029"/>
    <w:rsid w:val="101E098E"/>
    <w:rsid w:val="102B6E13"/>
    <w:rsid w:val="103F5AD3"/>
    <w:rsid w:val="10454371"/>
    <w:rsid w:val="10477636"/>
    <w:rsid w:val="105E1A4A"/>
    <w:rsid w:val="105E23FD"/>
    <w:rsid w:val="10676E65"/>
    <w:rsid w:val="106C5626"/>
    <w:rsid w:val="10742706"/>
    <w:rsid w:val="10937D6D"/>
    <w:rsid w:val="10954EEA"/>
    <w:rsid w:val="109C57D7"/>
    <w:rsid w:val="10A34B2E"/>
    <w:rsid w:val="10A74B1C"/>
    <w:rsid w:val="10CC79A9"/>
    <w:rsid w:val="10E15E16"/>
    <w:rsid w:val="10F323A5"/>
    <w:rsid w:val="11134DDF"/>
    <w:rsid w:val="113725E9"/>
    <w:rsid w:val="113F2383"/>
    <w:rsid w:val="114A0BD3"/>
    <w:rsid w:val="116465C8"/>
    <w:rsid w:val="11765062"/>
    <w:rsid w:val="118B5FC4"/>
    <w:rsid w:val="11A55E09"/>
    <w:rsid w:val="11AE0EEB"/>
    <w:rsid w:val="11AE73EA"/>
    <w:rsid w:val="11C942DB"/>
    <w:rsid w:val="11D92D5F"/>
    <w:rsid w:val="11FA561F"/>
    <w:rsid w:val="12090C1C"/>
    <w:rsid w:val="12157FD3"/>
    <w:rsid w:val="12217B86"/>
    <w:rsid w:val="12243CB9"/>
    <w:rsid w:val="12252F49"/>
    <w:rsid w:val="122D7B58"/>
    <w:rsid w:val="125C5E86"/>
    <w:rsid w:val="12616F5B"/>
    <w:rsid w:val="126953E9"/>
    <w:rsid w:val="127016BC"/>
    <w:rsid w:val="12766ADD"/>
    <w:rsid w:val="127E0401"/>
    <w:rsid w:val="128F7EAA"/>
    <w:rsid w:val="12A367ED"/>
    <w:rsid w:val="12A61FEA"/>
    <w:rsid w:val="12A94511"/>
    <w:rsid w:val="12AA3B32"/>
    <w:rsid w:val="12BF1B25"/>
    <w:rsid w:val="132114D3"/>
    <w:rsid w:val="13323552"/>
    <w:rsid w:val="133D3A0D"/>
    <w:rsid w:val="13496C75"/>
    <w:rsid w:val="135561EF"/>
    <w:rsid w:val="135810F3"/>
    <w:rsid w:val="13885631"/>
    <w:rsid w:val="13CD0E50"/>
    <w:rsid w:val="13FF5F47"/>
    <w:rsid w:val="141D6F87"/>
    <w:rsid w:val="14240AE9"/>
    <w:rsid w:val="142D5748"/>
    <w:rsid w:val="14434554"/>
    <w:rsid w:val="1461426A"/>
    <w:rsid w:val="146410FB"/>
    <w:rsid w:val="14695E50"/>
    <w:rsid w:val="14765F16"/>
    <w:rsid w:val="14A357D1"/>
    <w:rsid w:val="14C85AED"/>
    <w:rsid w:val="14F047C6"/>
    <w:rsid w:val="14F52974"/>
    <w:rsid w:val="15023592"/>
    <w:rsid w:val="150311A8"/>
    <w:rsid w:val="150F4C6A"/>
    <w:rsid w:val="15152BD4"/>
    <w:rsid w:val="15387EE4"/>
    <w:rsid w:val="153A0547"/>
    <w:rsid w:val="153C476C"/>
    <w:rsid w:val="155618F4"/>
    <w:rsid w:val="15566B9E"/>
    <w:rsid w:val="15697E19"/>
    <w:rsid w:val="158226E9"/>
    <w:rsid w:val="15945E76"/>
    <w:rsid w:val="15950236"/>
    <w:rsid w:val="15AE56B5"/>
    <w:rsid w:val="15B115CA"/>
    <w:rsid w:val="15BA6276"/>
    <w:rsid w:val="15D102A5"/>
    <w:rsid w:val="15D1381B"/>
    <w:rsid w:val="15DD16E1"/>
    <w:rsid w:val="161B1F1E"/>
    <w:rsid w:val="16296601"/>
    <w:rsid w:val="16666B06"/>
    <w:rsid w:val="167C6157"/>
    <w:rsid w:val="167D1103"/>
    <w:rsid w:val="167F4E7B"/>
    <w:rsid w:val="16985F3D"/>
    <w:rsid w:val="16B34B25"/>
    <w:rsid w:val="16B41E5A"/>
    <w:rsid w:val="16C1342F"/>
    <w:rsid w:val="16D64677"/>
    <w:rsid w:val="17191DC0"/>
    <w:rsid w:val="17575A01"/>
    <w:rsid w:val="1787048B"/>
    <w:rsid w:val="17D31922"/>
    <w:rsid w:val="17DE5A58"/>
    <w:rsid w:val="181028E7"/>
    <w:rsid w:val="18232B29"/>
    <w:rsid w:val="182F0B80"/>
    <w:rsid w:val="18417CC1"/>
    <w:rsid w:val="184B770B"/>
    <w:rsid w:val="185A794E"/>
    <w:rsid w:val="189A33B7"/>
    <w:rsid w:val="18A40A83"/>
    <w:rsid w:val="18AB1AE7"/>
    <w:rsid w:val="18C911C4"/>
    <w:rsid w:val="18CB3C7D"/>
    <w:rsid w:val="19293956"/>
    <w:rsid w:val="195F6B3D"/>
    <w:rsid w:val="1973547B"/>
    <w:rsid w:val="19892D6D"/>
    <w:rsid w:val="19A10F4B"/>
    <w:rsid w:val="19D21766"/>
    <w:rsid w:val="19EB2F45"/>
    <w:rsid w:val="19EE2A43"/>
    <w:rsid w:val="19F23CBE"/>
    <w:rsid w:val="19F811CC"/>
    <w:rsid w:val="1A037B71"/>
    <w:rsid w:val="1A0E4F9B"/>
    <w:rsid w:val="1A1734E3"/>
    <w:rsid w:val="1A2D4ADF"/>
    <w:rsid w:val="1A3A2FD9"/>
    <w:rsid w:val="1A3D12D5"/>
    <w:rsid w:val="1A444411"/>
    <w:rsid w:val="1A505E1B"/>
    <w:rsid w:val="1A53729A"/>
    <w:rsid w:val="1A5C6131"/>
    <w:rsid w:val="1A6243BE"/>
    <w:rsid w:val="1A69031C"/>
    <w:rsid w:val="1A6974F9"/>
    <w:rsid w:val="1A6C5CD7"/>
    <w:rsid w:val="1A832130"/>
    <w:rsid w:val="1A906492"/>
    <w:rsid w:val="1A956B0D"/>
    <w:rsid w:val="1AAF68D2"/>
    <w:rsid w:val="1AB07597"/>
    <w:rsid w:val="1AB70A6A"/>
    <w:rsid w:val="1ABE351D"/>
    <w:rsid w:val="1AD34D95"/>
    <w:rsid w:val="1ADD0F40"/>
    <w:rsid w:val="1B083F18"/>
    <w:rsid w:val="1B1B7A0F"/>
    <w:rsid w:val="1B252495"/>
    <w:rsid w:val="1B2D234E"/>
    <w:rsid w:val="1B34646B"/>
    <w:rsid w:val="1B4D19EC"/>
    <w:rsid w:val="1B650AE3"/>
    <w:rsid w:val="1B9A3332"/>
    <w:rsid w:val="1B9A77D0"/>
    <w:rsid w:val="1B9D5DED"/>
    <w:rsid w:val="1B9F2C45"/>
    <w:rsid w:val="1BB515CF"/>
    <w:rsid w:val="1BD96D89"/>
    <w:rsid w:val="1BF57B70"/>
    <w:rsid w:val="1BFC4F3D"/>
    <w:rsid w:val="1C065FFB"/>
    <w:rsid w:val="1C0C44F4"/>
    <w:rsid w:val="1C0E117B"/>
    <w:rsid w:val="1C3109C5"/>
    <w:rsid w:val="1C511490"/>
    <w:rsid w:val="1C7E4FFE"/>
    <w:rsid w:val="1C8C667F"/>
    <w:rsid w:val="1C9F5B7F"/>
    <w:rsid w:val="1CAC1C89"/>
    <w:rsid w:val="1CC57360"/>
    <w:rsid w:val="1CE80FB7"/>
    <w:rsid w:val="1D444728"/>
    <w:rsid w:val="1D463AE5"/>
    <w:rsid w:val="1D4D3C15"/>
    <w:rsid w:val="1D5232E9"/>
    <w:rsid w:val="1D5343D9"/>
    <w:rsid w:val="1D734AFB"/>
    <w:rsid w:val="1D8C2A8B"/>
    <w:rsid w:val="1D9D294F"/>
    <w:rsid w:val="1DC75A85"/>
    <w:rsid w:val="1DE01D35"/>
    <w:rsid w:val="1DF40C35"/>
    <w:rsid w:val="1DF8130E"/>
    <w:rsid w:val="1E2178B5"/>
    <w:rsid w:val="1E790232"/>
    <w:rsid w:val="1E9B2A6E"/>
    <w:rsid w:val="1EA638ED"/>
    <w:rsid w:val="1EA742AC"/>
    <w:rsid w:val="1ED23F64"/>
    <w:rsid w:val="1F2A4548"/>
    <w:rsid w:val="1F2A4B98"/>
    <w:rsid w:val="1F526BC6"/>
    <w:rsid w:val="1F865520"/>
    <w:rsid w:val="1FB24C3A"/>
    <w:rsid w:val="1FDF0657"/>
    <w:rsid w:val="1FE65CE6"/>
    <w:rsid w:val="1FE8604B"/>
    <w:rsid w:val="1FED64C5"/>
    <w:rsid w:val="1FF2569A"/>
    <w:rsid w:val="1FF463D5"/>
    <w:rsid w:val="1FFC578E"/>
    <w:rsid w:val="20167523"/>
    <w:rsid w:val="201B2EFA"/>
    <w:rsid w:val="202B4220"/>
    <w:rsid w:val="204E5543"/>
    <w:rsid w:val="2060013F"/>
    <w:rsid w:val="206834BD"/>
    <w:rsid w:val="207321A0"/>
    <w:rsid w:val="20895224"/>
    <w:rsid w:val="20A42133"/>
    <w:rsid w:val="20B13E1B"/>
    <w:rsid w:val="20C6325D"/>
    <w:rsid w:val="20DB6DC5"/>
    <w:rsid w:val="20EB6088"/>
    <w:rsid w:val="20EF2BFD"/>
    <w:rsid w:val="212136FE"/>
    <w:rsid w:val="213A3985"/>
    <w:rsid w:val="213E284B"/>
    <w:rsid w:val="21577510"/>
    <w:rsid w:val="215A4B98"/>
    <w:rsid w:val="21606A0A"/>
    <w:rsid w:val="216F7CE7"/>
    <w:rsid w:val="21986C3E"/>
    <w:rsid w:val="21B87493"/>
    <w:rsid w:val="21BE1530"/>
    <w:rsid w:val="21C10A3D"/>
    <w:rsid w:val="21E21FC2"/>
    <w:rsid w:val="21EB7F04"/>
    <w:rsid w:val="21FD7606"/>
    <w:rsid w:val="22001566"/>
    <w:rsid w:val="220D13B9"/>
    <w:rsid w:val="22192027"/>
    <w:rsid w:val="223034CD"/>
    <w:rsid w:val="223F0F06"/>
    <w:rsid w:val="2242450B"/>
    <w:rsid w:val="22453BAE"/>
    <w:rsid w:val="22523B67"/>
    <w:rsid w:val="225C58BC"/>
    <w:rsid w:val="229A2632"/>
    <w:rsid w:val="229C4140"/>
    <w:rsid w:val="22A36B16"/>
    <w:rsid w:val="22B644E8"/>
    <w:rsid w:val="22BA16E2"/>
    <w:rsid w:val="22D33263"/>
    <w:rsid w:val="22D35266"/>
    <w:rsid w:val="22DF513C"/>
    <w:rsid w:val="22F10EAE"/>
    <w:rsid w:val="22F12B28"/>
    <w:rsid w:val="23097672"/>
    <w:rsid w:val="232C0370"/>
    <w:rsid w:val="233B35C2"/>
    <w:rsid w:val="23647A30"/>
    <w:rsid w:val="23864075"/>
    <w:rsid w:val="238C6A73"/>
    <w:rsid w:val="23A14683"/>
    <w:rsid w:val="23BF7C0E"/>
    <w:rsid w:val="23CC2EB8"/>
    <w:rsid w:val="23D73D77"/>
    <w:rsid w:val="23D90C2C"/>
    <w:rsid w:val="23E01FBA"/>
    <w:rsid w:val="23EA427B"/>
    <w:rsid w:val="23F636C6"/>
    <w:rsid w:val="240E6855"/>
    <w:rsid w:val="244C6AAA"/>
    <w:rsid w:val="24540B16"/>
    <w:rsid w:val="247B017E"/>
    <w:rsid w:val="24875A2C"/>
    <w:rsid w:val="24B62301"/>
    <w:rsid w:val="24CD6BFD"/>
    <w:rsid w:val="24E179ED"/>
    <w:rsid w:val="24F96F87"/>
    <w:rsid w:val="250F2A44"/>
    <w:rsid w:val="252769DA"/>
    <w:rsid w:val="252D4BC0"/>
    <w:rsid w:val="25365705"/>
    <w:rsid w:val="25583467"/>
    <w:rsid w:val="256A5F77"/>
    <w:rsid w:val="25743E32"/>
    <w:rsid w:val="257A0918"/>
    <w:rsid w:val="257C3E8D"/>
    <w:rsid w:val="25975E02"/>
    <w:rsid w:val="25B243F5"/>
    <w:rsid w:val="25BB7248"/>
    <w:rsid w:val="25C95A2E"/>
    <w:rsid w:val="25CA602F"/>
    <w:rsid w:val="25EF2298"/>
    <w:rsid w:val="25F538F2"/>
    <w:rsid w:val="26115962"/>
    <w:rsid w:val="261A696E"/>
    <w:rsid w:val="263B3556"/>
    <w:rsid w:val="26404EF1"/>
    <w:rsid w:val="26432C75"/>
    <w:rsid w:val="266015DF"/>
    <w:rsid w:val="26795443"/>
    <w:rsid w:val="267B4673"/>
    <w:rsid w:val="2699420E"/>
    <w:rsid w:val="26AC3A6A"/>
    <w:rsid w:val="26C07516"/>
    <w:rsid w:val="26D01AB5"/>
    <w:rsid w:val="26FD7713"/>
    <w:rsid w:val="2729067E"/>
    <w:rsid w:val="27486BE1"/>
    <w:rsid w:val="274B4611"/>
    <w:rsid w:val="27604855"/>
    <w:rsid w:val="27B150B0"/>
    <w:rsid w:val="27B22E94"/>
    <w:rsid w:val="27B43EA5"/>
    <w:rsid w:val="27D71B4D"/>
    <w:rsid w:val="27F01E7F"/>
    <w:rsid w:val="27F71E0B"/>
    <w:rsid w:val="282878C3"/>
    <w:rsid w:val="282B4E63"/>
    <w:rsid w:val="283D06F2"/>
    <w:rsid w:val="2889159A"/>
    <w:rsid w:val="288A2F1E"/>
    <w:rsid w:val="28EF40E2"/>
    <w:rsid w:val="28FC68AF"/>
    <w:rsid w:val="29000A4D"/>
    <w:rsid w:val="290E29F1"/>
    <w:rsid w:val="29311F82"/>
    <w:rsid w:val="294454F0"/>
    <w:rsid w:val="294A3793"/>
    <w:rsid w:val="29795A2A"/>
    <w:rsid w:val="29D64538"/>
    <w:rsid w:val="29EC68FF"/>
    <w:rsid w:val="2A212AE9"/>
    <w:rsid w:val="2A2658D1"/>
    <w:rsid w:val="2A4124A3"/>
    <w:rsid w:val="2A573800"/>
    <w:rsid w:val="2A6148C0"/>
    <w:rsid w:val="2AB7478C"/>
    <w:rsid w:val="2ADA6B6F"/>
    <w:rsid w:val="2AE00186"/>
    <w:rsid w:val="2AEA44FC"/>
    <w:rsid w:val="2AFD1E1D"/>
    <w:rsid w:val="2B1476E2"/>
    <w:rsid w:val="2B1E5C90"/>
    <w:rsid w:val="2B4F0023"/>
    <w:rsid w:val="2BA74800"/>
    <w:rsid w:val="2BCC359E"/>
    <w:rsid w:val="2BD236BC"/>
    <w:rsid w:val="2BEC12EB"/>
    <w:rsid w:val="2BEE0AA1"/>
    <w:rsid w:val="2C0C1DA5"/>
    <w:rsid w:val="2C2E0A7D"/>
    <w:rsid w:val="2C370F78"/>
    <w:rsid w:val="2C4D16AB"/>
    <w:rsid w:val="2C6721E1"/>
    <w:rsid w:val="2C8314BD"/>
    <w:rsid w:val="2C864DE9"/>
    <w:rsid w:val="2C8903AA"/>
    <w:rsid w:val="2C895051"/>
    <w:rsid w:val="2C8B0B3A"/>
    <w:rsid w:val="2C8F3D11"/>
    <w:rsid w:val="2CC40F61"/>
    <w:rsid w:val="2CEB4BC0"/>
    <w:rsid w:val="2CFC2245"/>
    <w:rsid w:val="2D07409C"/>
    <w:rsid w:val="2D1C5D81"/>
    <w:rsid w:val="2D403128"/>
    <w:rsid w:val="2D430559"/>
    <w:rsid w:val="2D6332E3"/>
    <w:rsid w:val="2D6D1A79"/>
    <w:rsid w:val="2D761C5B"/>
    <w:rsid w:val="2D855015"/>
    <w:rsid w:val="2DA80AA4"/>
    <w:rsid w:val="2DC05C8C"/>
    <w:rsid w:val="2DC603B0"/>
    <w:rsid w:val="2DC60572"/>
    <w:rsid w:val="2DC83473"/>
    <w:rsid w:val="2DC971A9"/>
    <w:rsid w:val="2DCE2518"/>
    <w:rsid w:val="2DD81143"/>
    <w:rsid w:val="2DF126AA"/>
    <w:rsid w:val="2DFF2D38"/>
    <w:rsid w:val="2E051BB0"/>
    <w:rsid w:val="2E424AD5"/>
    <w:rsid w:val="2E4D4EB1"/>
    <w:rsid w:val="2E63770B"/>
    <w:rsid w:val="2E7D5CEC"/>
    <w:rsid w:val="2E7F4C29"/>
    <w:rsid w:val="2E8813F1"/>
    <w:rsid w:val="2EB43FDA"/>
    <w:rsid w:val="2ED3590C"/>
    <w:rsid w:val="2F42274A"/>
    <w:rsid w:val="2F532E8F"/>
    <w:rsid w:val="2F803CE6"/>
    <w:rsid w:val="2F951AC7"/>
    <w:rsid w:val="2F953FF0"/>
    <w:rsid w:val="2F9B6E53"/>
    <w:rsid w:val="2F9D37CC"/>
    <w:rsid w:val="2FB5424C"/>
    <w:rsid w:val="2FC14429"/>
    <w:rsid w:val="2FC17E5A"/>
    <w:rsid w:val="300F0BED"/>
    <w:rsid w:val="30135126"/>
    <w:rsid w:val="3029612C"/>
    <w:rsid w:val="302C14B3"/>
    <w:rsid w:val="304906D9"/>
    <w:rsid w:val="30795D57"/>
    <w:rsid w:val="30975B1C"/>
    <w:rsid w:val="309F0C17"/>
    <w:rsid w:val="30B26121"/>
    <w:rsid w:val="30C304D6"/>
    <w:rsid w:val="30D305ED"/>
    <w:rsid w:val="30DF21D8"/>
    <w:rsid w:val="30DF4A3C"/>
    <w:rsid w:val="30E35CD7"/>
    <w:rsid w:val="30EB6B90"/>
    <w:rsid w:val="31031ABB"/>
    <w:rsid w:val="31095EB7"/>
    <w:rsid w:val="311A3576"/>
    <w:rsid w:val="31210BB1"/>
    <w:rsid w:val="31597F14"/>
    <w:rsid w:val="31624FF7"/>
    <w:rsid w:val="31694894"/>
    <w:rsid w:val="31767E09"/>
    <w:rsid w:val="318740E6"/>
    <w:rsid w:val="319A2075"/>
    <w:rsid w:val="31A122DC"/>
    <w:rsid w:val="31A12CA8"/>
    <w:rsid w:val="31DD0B43"/>
    <w:rsid w:val="31DF550D"/>
    <w:rsid w:val="31E367AE"/>
    <w:rsid w:val="31EC7184"/>
    <w:rsid w:val="31F90ACE"/>
    <w:rsid w:val="32030D9C"/>
    <w:rsid w:val="321A3FE1"/>
    <w:rsid w:val="3227616A"/>
    <w:rsid w:val="32350BDD"/>
    <w:rsid w:val="32356802"/>
    <w:rsid w:val="323745C1"/>
    <w:rsid w:val="3256600A"/>
    <w:rsid w:val="326E5139"/>
    <w:rsid w:val="327552C6"/>
    <w:rsid w:val="3281224F"/>
    <w:rsid w:val="3290321D"/>
    <w:rsid w:val="3298326D"/>
    <w:rsid w:val="329D62BB"/>
    <w:rsid w:val="32EF58AD"/>
    <w:rsid w:val="32F83B93"/>
    <w:rsid w:val="32FF7EB7"/>
    <w:rsid w:val="33174961"/>
    <w:rsid w:val="33257E48"/>
    <w:rsid w:val="332E1621"/>
    <w:rsid w:val="33374064"/>
    <w:rsid w:val="337D6E4D"/>
    <w:rsid w:val="33832185"/>
    <w:rsid w:val="3397632B"/>
    <w:rsid w:val="33A171DD"/>
    <w:rsid w:val="33AA6217"/>
    <w:rsid w:val="33C003F5"/>
    <w:rsid w:val="33CB7272"/>
    <w:rsid w:val="33DC34B5"/>
    <w:rsid w:val="33FD3B57"/>
    <w:rsid w:val="340E77BD"/>
    <w:rsid w:val="341F025F"/>
    <w:rsid w:val="345C0F3B"/>
    <w:rsid w:val="345F57F0"/>
    <w:rsid w:val="34725263"/>
    <w:rsid w:val="347B5922"/>
    <w:rsid w:val="348D1AFE"/>
    <w:rsid w:val="34931E83"/>
    <w:rsid w:val="34A95A08"/>
    <w:rsid w:val="34D27CD0"/>
    <w:rsid w:val="34E44D57"/>
    <w:rsid w:val="34FE1C66"/>
    <w:rsid w:val="35056D25"/>
    <w:rsid w:val="356C30E4"/>
    <w:rsid w:val="358565CB"/>
    <w:rsid w:val="35873BE8"/>
    <w:rsid w:val="359053A7"/>
    <w:rsid w:val="35A9281B"/>
    <w:rsid w:val="35CC6426"/>
    <w:rsid w:val="35D92384"/>
    <w:rsid w:val="35E368FD"/>
    <w:rsid w:val="360321A8"/>
    <w:rsid w:val="3605657F"/>
    <w:rsid w:val="360C07B5"/>
    <w:rsid w:val="36483084"/>
    <w:rsid w:val="365A26BB"/>
    <w:rsid w:val="367156B7"/>
    <w:rsid w:val="36B80EC6"/>
    <w:rsid w:val="36EF52AD"/>
    <w:rsid w:val="36FB7C09"/>
    <w:rsid w:val="36FD6A43"/>
    <w:rsid w:val="370365F0"/>
    <w:rsid w:val="37160A8C"/>
    <w:rsid w:val="37230D73"/>
    <w:rsid w:val="372A182D"/>
    <w:rsid w:val="3731741A"/>
    <w:rsid w:val="3734489C"/>
    <w:rsid w:val="37377380"/>
    <w:rsid w:val="37490265"/>
    <w:rsid w:val="374D305C"/>
    <w:rsid w:val="375B24F4"/>
    <w:rsid w:val="377811B2"/>
    <w:rsid w:val="379374F6"/>
    <w:rsid w:val="379B0CD1"/>
    <w:rsid w:val="379E7D35"/>
    <w:rsid w:val="37E46E47"/>
    <w:rsid w:val="38023567"/>
    <w:rsid w:val="380D779F"/>
    <w:rsid w:val="38207CF6"/>
    <w:rsid w:val="382650BD"/>
    <w:rsid w:val="38440F4D"/>
    <w:rsid w:val="384F13C8"/>
    <w:rsid w:val="384F4255"/>
    <w:rsid w:val="386E7147"/>
    <w:rsid w:val="3888350A"/>
    <w:rsid w:val="388F4F9A"/>
    <w:rsid w:val="38A2410F"/>
    <w:rsid w:val="38A91D3A"/>
    <w:rsid w:val="38C621C5"/>
    <w:rsid w:val="38C764E2"/>
    <w:rsid w:val="38D66E2B"/>
    <w:rsid w:val="38EC55CD"/>
    <w:rsid w:val="391502A5"/>
    <w:rsid w:val="39300AE7"/>
    <w:rsid w:val="394B2E21"/>
    <w:rsid w:val="39643D30"/>
    <w:rsid w:val="39801BEE"/>
    <w:rsid w:val="39877520"/>
    <w:rsid w:val="398A15F5"/>
    <w:rsid w:val="39921A2C"/>
    <w:rsid w:val="399E1043"/>
    <w:rsid w:val="39E029D9"/>
    <w:rsid w:val="39FA6D9E"/>
    <w:rsid w:val="39FB16BB"/>
    <w:rsid w:val="3A2B0EC0"/>
    <w:rsid w:val="3A5244D1"/>
    <w:rsid w:val="3A531D55"/>
    <w:rsid w:val="3A594774"/>
    <w:rsid w:val="3A723B3B"/>
    <w:rsid w:val="3A7B009F"/>
    <w:rsid w:val="3A98558D"/>
    <w:rsid w:val="3A993EAE"/>
    <w:rsid w:val="3ABE10DA"/>
    <w:rsid w:val="3AD76AA2"/>
    <w:rsid w:val="3AD97FA3"/>
    <w:rsid w:val="3AE71B98"/>
    <w:rsid w:val="3B180F30"/>
    <w:rsid w:val="3B223C30"/>
    <w:rsid w:val="3B4E6A46"/>
    <w:rsid w:val="3B556F95"/>
    <w:rsid w:val="3B7C6B99"/>
    <w:rsid w:val="3B855315"/>
    <w:rsid w:val="3BB735A4"/>
    <w:rsid w:val="3BBF5B96"/>
    <w:rsid w:val="3BC92571"/>
    <w:rsid w:val="3BDE13A3"/>
    <w:rsid w:val="3BFA5647"/>
    <w:rsid w:val="3C120E6A"/>
    <w:rsid w:val="3C2D6E01"/>
    <w:rsid w:val="3C556CDF"/>
    <w:rsid w:val="3C6A55BE"/>
    <w:rsid w:val="3C6F0014"/>
    <w:rsid w:val="3C7064F4"/>
    <w:rsid w:val="3C9B5AFB"/>
    <w:rsid w:val="3CA32DC2"/>
    <w:rsid w:val="3CB60D47"/>
    <w:rsid w:val="3CBD05D0"/>
    <w:rsid w:val="3CC71067"/>
    <w:rsid w:val="3CCC4653"/>
    <w:rsid w:val="3CCE6365"/>
    <w:rsid w:val="3CDE42C2"/>
    <w:rsid w:val="3CFC0A19"/>
    <w:rsid w:val="3CFF2AEA"/>
    <w:rsid w:val="3D01364E"/>
    <w:rsid w:val="3D0F5B30"/>
    <w:rsid w:val="3D12096F"/>
    <w:rsid w:val="3D1B24E6"/>
    <w:rsid w:val="3D1D13A2"/>
    <w:rsid w:val="3D3029C2"/>
    <w:rsid w:val="3D33111F"/>
    <w:rsid w:val="3D515006"/>
    <w:rsid w:val="3D7E738B"/>
    <w:rsid w:val="3D9372DA"/>
    <w:rsid w:val="3DCC4B8F"/>
    <w:rsid w:val="3DD15104"/>
    <w:rsid w:val="3DD94315"/>
    <w:rsid w:val="3DE87BE1"/>
    <w:rsid w:val="3DE9119F"/>
    <w:rsid w:val="3DEE01D0"/>
    <w:rsid w:val="3DF2364F"/>
    <w:rsid w:val="3E004E45"/>
    <w:rsid w:val="3E011E09"/>
    <w:rsid w:val="3E037DEE"/>
    <w:rsid w:val="3E16775C"/>
    <w:rsid w:val="3E2D328B"/>
    <w:rsid w:val="3E2D3ADD"/>
    <w:rsid w:val="3E4A722A"/>
    <w:rsid w:val="3E725142"/>
    <w:rsid w:val="3E7D51A9"/>
    <w:rsid w:val="3E8E1DA2"/>
    <w:rsid w:val="3E916A5A"/>
    <w:rsid w:val="3E924510"/>
    <w:rsid w:val="3EA82911"/>
    <w:rsid w:val="3EAD660D"/>
    <w:rsid w:val="3EBC4E0C"/>
    <w:rsid w:val="3EBE3D30"/>
    <w:rsid w:val="3EBE688D"/>
    <w:rsid w:val="3EDF0565"/>
    <w:rsid w:val="3EE375AA"/>
    <w:rsid w:val="3EF257D5"/>
    <w:rsid w:val="3EF35980"/>
    <w:rsid w:val="3F1C71D8"/>
    <w:rsid w:val="3F3348D1"/>
    <w:rsid w:val="3F456E1B"/>
    <w:rsid w:val="3F580EFE"/>
    <w:rsid w:val="3F620D12"/>
    <w:rsid w:val="3F757605"/>
    <w:rsid w:val="3FA71E53"/>
    <w:rsid w:val="3FA93517"/>
    <w:rsid w:val="3FB92672"/>
    <w:rsid w:val="3FCC2890"/>
    <w:rsid w:val="3FD70CAC"/>
    <w:rsid w:val="3FE95A65"/>
    <w:rsid w:val="3FF4481B"/>
    <w:rsid w:val="400413F2"/>
    <w:rsid w:val="40550877"/>
    <w:rsid w:val="405530E4"/>
    <w:rsid w:val="4057639D"/>
    <w:rsid w:val="40603889"/>
    <w:rsid w:val="406421C8"/>
    <w:rsid w:val="408B4299"/>
    <w:rsid w:val="40BA53B8"/>
    <w:rsid w:val="40D07EFD"/>
    <w:rsid w:val="40E165AE"/>
    <w:rsid w:val="40E22A0F"/>
    <w:rsid w:val="40F12090"/>
    <w:rsid w:val="40F36A4C"/>
    <w:rsid w:val="41160006"/>
    <w:rsid w:val="4127761A"/>
    <w:rsid w:val="412B252C"/>
    <w:rsid w:val="413B0649"/>
    <w:rsid w:val="413B7A6D"/>
    <w:rsid w:val="4153468A"/>
    <w:rsid w:val="4159761B"/>
    <w:rsid w:val="416A3AC0"/>
    <w:rsid w:val="41895615"/>
    <w:rsid w:val="41910115"/>
    <w:rsid w:val="41B31CF9"/>
    <w:rsid w:val="41BA4060"/>
    <w:rsid w:val="41BC7D4B"/>
    <w:rsid w:val="41C70D67"/>
    <w:rsid w:val="41D33FF9"/>
    <w:rsid w:val="41F70D38"/>
    <w:rsid w:val="41F93B45"/>
    <w:rsid w:val="422C6789"/>
    <w:rsid w:val="42372C80"/>
    <w:rsid w:val="423D5D3E"/>
    <w:rsid w:val="424E5E1D"/>
    <w:rsid w:val="425F3242"/>
    <w:rsid w:val="42B8327D"/>
    <w:rsid w:val="42ED682D"/>
    <w:rsid w:val="42F0520E"/>
    <w:rsid w:val="430B2902"/>
    <w:rsid w:val="431B5DA8"/>
    <w:rsid w:val="431C7624"/>
    <w:rsid w:val="43214BBC"/>
    <w:rsid w:val="43371D8D"/>
    <w:rsid w:val="433A1D55"/>
    <w:rsid w:val="433D2264"/>
    <w:rsid w:val="433E0077"/>
    <w:rsid w:val="434D3A87"/>
    <w:rsid w:val="435463A4"/>
    <w:rsid w:val="43650DD1"/>
    <w:rsid w:val="436726B5"/>
    <w:rsid w:val="439273CB"/>
    <w:rsid w:val="439A6B87"/>
    <w:rsid w:val="43A8560D"/>
    <w:rsid w:val="43D61518"/>
    <w:rsid w:val="43F403A7"/>
    <w:rsid w:val="441A32DB"/>
    <w:rsid w:val="442C5396"/>
    <w:rsid w:val="44345173"/>
    <w:rsid w:val="443B3C2E"/>
    <w:rsid w:val="4460151D"/>
    <w:rsid w:val="4469669F"/>
    <w:rsid w:val="44A627CC"/>
    <w:rsid w:val="44AD4091"/>
    <w:rsid w:val="44B61E0D"/>
    <w:rsid w:val="44D00C52"/>
    <w:rsid w:val="44D24AA9"/>
    <w:rsid w:val="44D2650B"/>
    <w:rsid w:val="44D775CB"/>
    <w:rsid w:val="44DB3759"/>
    <w:rsid w:val="44E829DD"/>
    <w:rsid w:val="450C277A"/>
    <w:rsid w:val="451369B8"/>
    <w:rsid w:val="451642F6"/>
    <w:rsid w:val="45270B59"/>
    <w:rsid w:val="4545456F"/>
    <w:rsid w:val="454C7BFE"/>
    <w:rsid w:val="454E5FCD"/>
    <w:rsid w:val="45562E35"/>
    <w:rsid w:val="456164E8"/>
    <w:rsid w:val="45784023"/>
    <w:rsid w:val="457E261E"/>
    <w:rsid w:val="45855CD6"/>
    <w:rsid w:val="458B54AD"/>
    <w:rsid w:val="45C63289"/>
    <w:rsid w:val="45CF1E73"/>
    <w:rsid w:val="45D96A26"/>
    <w:rsid w:val="45DD3120"/>
    <w:rsid w:val="45EC1828"/>
    <w:rsid w:val="4622744D"/>
    <w:rsid w:val="46282C26"/>
    <w:rsid w:val="463B5BC5"/>
    <w:rsid w:val="467025FE"/>
    <w:rsid w:val="468A6DA0"/>
    <w:rsid w:val="468A7B42"/>
    <w:rsid w:val="46B64F8A"/>
    <w:rsid w:val="46CE59EE"/>
    <w:rsid w:val="46D63D94"/>
    <w:rsid w:val="46E040D0"/>
    <w:rsid w:val="46F30C6D"/>
    <w:rsid w:val="471072A6"/>
    <w:rsid w:val="472970A3"/>
    <w:rsid w:val="47841291"/>
    <w:rsid w:val="478815A4"/>
    <w:rsid w:val="47956B8B"/>
    <w:rsid w:val="47A479CC"/>
    <w:rsid w:val="48144180"/>
    <w:rsid w:val="481E5F94"/>
    <w:rsid w:val="484020B6"/>
    <w:rsid w:val="48486A94"/>
    <w:rsid w:val="48743864"/>
    <w:rsid w:val="48825F81"/>
    <w:rsid w:val="48BC308B"/>
    <w:rsid w:val="48BF2D31"/>
    <w:rsid w:val="48F07F74"/>
    <w:rsid w:val="48F469A5"/>
    <w:rsid w:val="48F855DB"/>
    <w:rsid w:val="490E5A67"/>
    <w:rsid w:val="49187AC7"/>
    <w:rsid w:val="491A4D01"/>
    <w:rsid w:val="49547B0C"/>
    <w:rsid w:val="49832B0D"/>
    <w:rsid w:val="49AD702E"/>
    <w:rsid w:val="49BB7388"/>
    <w:rsid w:val="49D835B1"/>
    <w:rsid w:val="4A0E0A59"/>
    <w:rsid w:val="4A332B57"/>
    <w:rsid w:val="4A6E4B59"/>
    <w:rsid w:val="4A91498E"/>
    <w:rsid w:val="4AAF7BFB"/>
    <w:rsid w:val="4AB4387E"/>
    <w:rsid w:val="4ABA5EA6"/>
    <w:rsid w:val="4AC44F38"/>
    <w:rsid w:val="4AE03C1B"/>
    <w:rsid w:val="4AE47CF8"/>
    <w:rsid w:val="4B084AD1"/>
    <w:rsid w:val="4B125A67"/>
    <w:rsid w:val="4B3E0FCB"/>
    <w:rsid w:val="4B453379"/>
    <w:rsid w:val="4B6028EE"/>
    <w:rsid w:val="4B6138D1"/>
    <w:rsid w:val="4B92234A"/>
    <w:rsid w:val="4BD3746D"/>
    <w:rsid w:val="4BDA4326"/>
    <w:rsid w:val="4BDF7AAD"/>
    <w:rsid w:val="4BFA24BD"/>
    <w:rsid w:val="4C06426C"/>
    <w:rsid w:val="4C1872CD"/>
    <w:rsid w:val="4C1947E0"/>
    <w:rsid w:val="4C297B79"/>
    <w:rsid w:val="4C333FDD"/>
    <w:rsid w:val="4C472460"/>
    <w:rsid w:val="4C5409A4"/>
    <w:rsid w:val="4C5C3F8B"/>
    <w:rsid w:val="4C642F84"/>
    <w:rsid w:val="4C9F2B28"/>
    <w:rsid w:val="4CB93626"/>
    <w:rsid w:val="4CC1579B"/>
    <w:rsid w:val="4CCB1397"/>
    <w:rsid w:val="4D212819"/>
    <w:rsid w:val="4D3527AD"/>
    <w:rsid w:val="4D3D00F7"/>
    <w:rsid w:val="4D45291A"/>
    <w:rsid w:val="4D456EA9"/>
    <w:rsid w:val="4D602609"/>
    <w:rsid w:val="4D65056D"/>
    <w:rsid w:val="4D6D1ECD"/>
    <w:rsid w:val="4D9F2D03"/>
    <w:rsid w:val="4DA876D4"/>
    <w:rsid w:val="4DBD2619"/>
    <w:rsid w:val="4DBD71DB"/>
    <w:rsid w:val="4DC56EC8"/>
    <w:rsid w:val="4DD320C8"/>
    <w:rsid w:val="4DEA3E7D"/>
    <w:rsid w:val="4E1B6168"/>
    <w:rsid w:val="4E2D4BE1"/>
    <w:rsid w:val="4E467A51"/>
    <w:rsid w:val="4E5E123E"/>
    <w:rsid w:val="4E830D12"/>
    <w:rsid w:val="4EA25C5C"/>
    <w:rsid w:val="4EBB6F92"/>
    <w:rsid w:val="4EC217CD"/>
    <w:rsid w:val="4EC605D7"/>
    <w:rsid w:val="4EDB3C52"/>
    <w:rsid w:val="4EE929C6"/>
    <w:rsid w:val="4EEF5154"/>
    <w:rsid w:val="4EF56C32"/>
    <w:rsid w:val="4F023977"/>
    <w:rsid w:val="4F0911AA"/>
    <w:rsid w:val="4F1061EC"/>
    <w:rsid w:val="4F2C293C"/>
    <w:rsid w:val="4F506DD9"/>
    <w:rsid w:val="4F5D3A49"/>
    <w:rsid w:val="4F616B49"/>
    <w:rsid w:val="4F653C85"/>
    <w:rsid w:val="4FB8672C"/>
    <w:rsid w:val="4FBC6DB3"/>
    <w:rsid w:val="4FDA66A3"/>
    <w:rsid w:val="4FDC1180"/>
    <w:rsid w:val="4FEB6140"/>
    <w:rsid w:val="4FF95928"/>
    <w:rsid w:val="500914CD"/>
    <w:rsid w:val="501A73E7"/>
    <w:rsid w:val="503A2B90"/>
    <w:rsid w:val="506B6FE0"/>
    <w:rsid w:val="50737725"/>
    <w:rsid w:val="50761B9F"/>
    <w:rsid w:val="50770396"/>
    <w:rsid w:val="50776D06"/>
    <w:rsid w:val="50804D96"/>
    <w:rsid w:val="508220D9"/>
    <w:rsid w:val="508F3C68"/>
    <w:rsid w:val="50D951B9"/>
    <w:rsid w:val="5107548C"/>
    <w:rsid w:val="51452242"/>
    <w:rsid w:val="514A376F"/>
    <w:rsid w:val="51551400"/>
    <w:rsid w:val="51765264"/>
    <w:rsid w:val="51816153"/>
    <w:rsid w:val="518C60C3"/>
    <w:rsid w:val="51AD17C9"/>
    <w:rsid w:val="51BA4D0B"/>
    <w:rsid w:val="51BF4C79"/>
    <w:rsid w:val="51C57A7C"/>
    <w:rsid w:val="51D56F72"/>
    <w:rsid w:val="51DE5E73"/>
    <w:rsid w:val="51F04BAA"/>
    <w:rsid w:val="52100B89"/>
    <w:rsid w:val="52185FCE"/>
    <w:rsid w:val="521F50B2"/>
    <w:rsid w:val="52304CA0"/>
    <w:rsid w:val="5233392E"/>
    <w:rsid w:val="52462715"/>
    <w:rsid w:val="52560171"/>
    <w:rsid w:val="525C28F3"/>
    <w:rsid w:val="52785A61"/>
    <w:rsid w:val="528A3533"/>
    <w:rsid w:val="528D1C08"/>
    <w:rsid w:val="528D5686"/>
    <w:rsid w:val="52962066"/>
    <w:rsid w:val="52C06606"/>
    <w:rsid w:val="52C66A7C"/>
    <w:rsid w:val="52D01FDF"/>
    <w:rsid w:val="52FB705C"/>
    <w:rsid w:val="5315682A"/>
    <w:rsid w:val="5316709F"/>
    <w:rsid w:val="53226CDE"/>
    <w:rsid w:val="5338205E"/>
    <w:rsid w:val="5338454D"/>
    <w:rsid w:val="533C446C"/>
    <w:rsid w:val="534704F3"/>
    <w:rsid w:val="53536E98"/>
    <w:rsid w:val="5380249C"/>
    <w:rsid w:val="538A3DAA"/>
    <w:rsid w:val="53A771E4"/>
    <w:rsid w:val="53D0546E"/>
    <w:rsid w:val="53D43A7A"/>
    <w:rsid w:val="53DB008F"/>
    <w:rsid w:val="53F00B8B"/>
    <w:rsid w:val="541A5C08"/>
    <w:rsid w:val="541E2959"/>
    <w:rsid w:val="542645AC"/>
    <w:rsid w:val="542A2766"/>
    <w:rsid w:val="54407D28"/>
    <w:rsid w:val="546809C3"/>
    <w:rsid w:val="54686A74"/>
    <w:rsid w:val="54A40765"/>
    <w:rsid w:val="54A57937"/>
    <w:rsid w:val="54AD1AA9"/>
    <w:rsid w:val="54DD6FE3"/>
    <w:rsid w:val="5503044A"/>
    <w:rsid w:val="550B2C97"/>
    <w:rsid w:val="550C25F6"/>
    <w:rsid w:val="550D7D43"/>
    <w:rsid w:val="551A4D4B"/>
    <w:rsid w:val="552C4E53"/>
    <w:rsid w:val="553C58A3"/>
    <w:rsid w:val="5563546E"/>
    <w:rsid w:val="556D697F"/>
    <w:rsid w:val="55782BE6"/>
    <w:rsid w:val="55A75279"/>
    <w:rsid w:val="55EC2C79"/>
    <w:rsid w:val="560F5B43"/>
    <w:rsid w:val="56106CE3"/>
    <w:rsid w:val="56140AF5"/>
    <w:rsid w:val="5621502B"/>
    <w:rsid w:val="56293017"/>
    <w:rsid w:val="56352B49"/>
    <w:rsid w:val="564E7CA4"/>
    <w:rsid w:val="56560192"/>
    <w:rsid w:val="56622217"/>
    <w:rsid w:val="56683035"/>
    <w:rsid w:val="56C3379B"/>
    <w:rsid w:val="56E11A08"/>
    <w:rsid w:val="575E4B81"/>
    <w:rsid w:val="576F0018"/>
    <w:rsid w:val="57830771"/>
    <w:rsid w:val="57880DB6"/>
    <w:rsid w:val="578F7037"/>
    <w:rsid w:val="57B1656F"/>
    <w:rsid w:val="57B25122"/>
    <w:rsid w:val="57BA09FA"/>
    <w:rsid w:val="57BA1393"/>
    <w:rsid w:val="57C11FCB"/>
    <w:rsid w:val="57D20B1A"/>
    <w:rsid w:val="57E740DE"/>
    <w:rsid w:val="58070251"/>
    <w:rsid w:val="58313520"/>
    <w:rsid w:val="584A119C"/>
    <w:rsid w:val="58962B1F"/>
    <w:rsid w:val="58AB30EC"/>
    <w:rsid w:val="58C779E0"/>
    <w:rsid w:val="58DA03D3"/>
    <w:rsid w:val="58EA0F1E"/>
    <w:rsid w:val="59144C49"/>
    <w:rsid w:val="591C0685"/>
    <w:rsid w:val="592130AC"/>
    <w:rsid w:val="59255BE0"/>
    <w:rsid w:val="592B61C1"/>
    <w:rsid w:val="59450855"/>
    <w:rsid w:val="597F7976"/>
    <w:rsid w:val="5989229C"/>
    <w:rsid w:val="5996188C"/>
    <w:rsid w:val="59B77E1F"/>
    <w:rsid w:val="59B969AF"/>
    <w:rsid w:val="59C94812"/>
    <w:rsid w:val="59DA7D0F"/>
    <w:rsid w:val="59DE4FE1"/>
    <w:rsid w:val="59FD32F3"/>
    <w:rsid w:val="5A00746C"/>
    <w:rsid w:val="5A215B83"/>
    <w:rsid w:val="5A2E1325"/>
    <w:rsid w:val="5A47527D"/>
    <w:rsid w:val="5A814DBE"/>
    <w:rsid w:val="5A932270"/>
    <w:rsid w:val="5A9E6296"/>
    <w:rsid w:val="5A9F33C9"/>
    <w:rsid w:val="5AB50438"/>
    <w:rsid w:val="5AD15085"/>
    <w:rsid w:val="5AE2268C"/>
    <w:rsid w:val="5AED1980"/>
    <w:rsid w:val="5B043935"/>
    <w:rsid w:val="5B092532"/>
    <w:rsid w:val="5B260C7C"/>
    <w:rsid w:val="5B48714E"/>
    <w:rsid w:val="5B687259"/>
    <w:rsid w:val="5B6B3551"/>
    <w:rsid w:val="5B8A2CDB"/>
    <w:rsid w:val="5B8C7D6C"/>
    <w:rsid w:val="5B974C66"/>
    <w:rsid w:val="5BA34735"/>
    <w:rsid w:val="5BAF2BC1"/>
    <w:rsid w:val="5BCB750F"/>
    <w:rsid w:val="5BE022CB"/>
    <w:rsid w:val="5BFF22D3"/>
    <w:rsid w:val="5C013209"/>
    <w:rsid w:val="5C1D0736"/>
    <w:rsid w:val="5C8118C1"/>
    <w:rsid w:val="5C853E3A"/>
    <w:rsid w:val="5CD814DE"/>
    <w:rsid w:val="5CDC4040"/>
    <w:rsid w:val="5D377AC1"/>
    <w:rsid w:val="5D485594"/>
    <w:rsid w:val="5D647EF4"/>
    <w:rsid w:val="5D76013F"/>
    <w:rsid w:val="5D903607"/>
    <w:rsid w:val="5D9F6BFC"/>
    <w:rsid w:val="5DAF73C1"/>
    <w:rsid w:val="5DB306DA"/>
    <w:rsid w:val="5DB524FD"/>
    <w:rsid w:val="5DB944F7"/>
    <w:rsid w:val="5DBB5D65"/>
    <w:rsid w:val="5DDA45C0"/>
    <w:rsid w:val="5E053647"/>
    <w:rsid w:val="5E113BD7"/>
    <w:rsid w:val="5E3923F5"/>
    <w:rsid w:val="5E3F70B2"/>
    <w:rsid w:val="5E4915C3"/>
    <w:rsid w:val="5E626589"/>
    <w:rsid w:val="5E6767D9"/>
    <w:rsid w:val="5E9E66DE"/>
    <w:rsid w:val="5EA00288"/>
    <w:rsid w:val="5EB93FB1"/>
    <w:rsid w:val="5EBF1885"/>
    <w:rsid w:val="5EC0589E"/>
    <w:rsid w:val="5EDF5A84"/>
    <w:rsid w:val="5F0A1F1D"/>
    <w:rsid w:val="5F0C25F1"/>
    <w:rsid w:val="5F340B08"/>
    <w:rsid w:val="5F3F23BB"/>
    <w:rsid w:val="5F5020C2"/>
    <w:rsid w:val="5F631E13"/>
    <w:rsid w:val="5F637D66"/>
    <w:rsid w:val="5F661D01"/>
    <w:rsid w:val="5F885BCF"/>
    <w:rsid w:val="5F9E2255"/>
    <w:rsid w:val="5FA50C8C"/>
    <w:rsid w:val="5FC56B51"/>
    <w:rsid w:val="5FCF3EC8"/>
    <w:rsid w:val="5FD31303"/>
    <w:rsid w:val="5FD5360B"/>
    <w:rsid w:val="5FD84A9F"/>
    <w:rsid w:val="5FE838DE"/>
    <w:rsid w:val="5FF40BE0"/>
    <w:rsid w:val="600372EC"/>
    <w:rsid w:val="601F61B9"/>
    <w:rsid w:val="6028330A"/>
    <w:rsid w:val="603F1724"/>
    <w:rsid w:val="60620E8B"/>
    <w:rsid w:val="609F6BB5"/>
    <w:rsid w:val="60B9484C"/>
    <w:rsid w:val="60D648BD"/>
    <w:rsid w:val="60E0280F"/>
    <w:rsid w:val="60FB0B6F"/>
    <w:rsid w:val="61086BDE"/>
    <w:rsid w:val="610B7004"/>
    <w:rsid w:val="6115578D"/>
    <w:rsid w:val="614507B6"/>
    <w:rsid w:val="61533568"/>
    <w:rsid w:val="61734BA9"/>
    <w:rsid w:val="617701F5"/>
    <w:rsid w:val="61A16E1F"/>
    <w:rsid w:val="61B12548"/>
    <w:rsid w:val="61B905BF"/>
    <w:rsid w:val="61BA6334"/>
    <w:rsid w:val="61C147ED"/>
    <w:rsid w:val="61E66498"/>
    <w:rsid w:val="61F37A2B"/>
    <w:rsid w:val="61FB6E70"/>
    <w:rsid w:val="623F72F3"/>
    <w:rsid w:val="6260512D"/>
    <w:rsid w:val="626544F2"/>
    <w:rsid w:val="62687681"/>
    <w:rsid w:val="626B2577"/>
    <w:rsid w:val="626D0AAD"/>
    <w:rsid w:val="62740BD9"/>
    <w:rsid w:val="62951EAB"/>
    <w:rsid w:val="62C113E6"/>
    <w:rsid w:val="62D42C39"/>
    <w:rsid w:val="62D84F52"/>
    <w:rsid w:val="62DB32CF"/>
    <w:rsid w:val="63263F3F"/>
    <w:rsid w:val="632C402D"/>
    <w:rsid w:val="634132DF"/>
    <w:rsid w:val="6355792A"/>
    <w:rsid w:val="63673F82"/>
    <w:rsid w:val="637B37F4"/>
    <w:rsid w:val="639257BA"/>
    <w:rsid w:val="6397364E"/>
    <w:rsid w:val="639A44C1"/>
    <w:rsid w:val="639C4DF2"/>
    <w:rsid w:val="639C513F"/>
    <w:rsid w:val="63A1123C"/>
    <w:rsid w:val="63A91FCC"/>
    <w:rsid w:val="63DB3FB5"/>
    <w:rsid w:val="63E3295D"/>
    <w:rsid w:val="63E559AB"/>
    <w:rsid w:val="63FC5AE3"/>
    <w:rsid w:val="6401692D"/>
    <w:rsid w:val="640815D9"/>
    <w:rsid w:val="641622A7"/>
    <w:rsid w:val="641D7082"/>
    <w:rsid w:val="643F22FE"/>
    <w:rsid w:val="644105DB"/>
    <w:rsid w:val="644243B8"/>
    <w:rsid w:val="648132C7"/>
    <w:rsid w:val="64906592"/>
    <w:rsid w:val="64A023DE"/>
    <w:rsid w:val="64A84B6A"/>
    <w:rsid w:val="64C24883"/>
    <w:rsid w:val="64C9072A"/>
    <w:rsid w:val="64D616D7"/>
    <w:rsid w:val="64E8140A"/>
    <w:rsid w:val="656C1925"/>
    <w:rsid w:val="656C7082"/>
    <w:rsid w:val="657D1B52"/>
    <w:rsid w:val="657E37B3"/>
    <w:rsid w:val="657F630E"/>
    <w:rsid w:val="65A0248C"/>
    <w:rsid w:val="65BD7661"/>
    <w:rsid w:val="65C741F1"/>
    <w:rsid w:val="65F27082"/>
    <w:rsid w:val="660C65A4"/>
    <w:rsid w:val="662277E8"/>
    <w:rsid w:val="66322BA5"/>
    <w:rsid w:val="665F39EB"/>
    <w:rsid w:val="66751CE5"/>
    <w:rsid w:val="669971F6"/>
    <w:rsid w:val="66A30481"/>
    <w:rsid w:val="66A54284"/>
    <w:rsid w:val="66AB6D48"/>
    <w:rsid w:val="66B119A8"/>
    <w:rsid w:val="66B75DB6"/>
    <w:rsid w:val="66BF65EF"/>
    <w:rsid w:val="66D137BC"/>
    <w:rsid w:val="66F300FB"/>
    <w:rsid w:val="66F8754F"/>
    <w:rsid w:val="66FB48AB"/>
    <w:rsid w:val="67034EB1"/>
    <w:rsid w:val="67265447"/>
    <w:rsid w:val="674D4D0C"/>
    <w:rsid w:val="674D4F86"/>
    <w:rsid w:val="6767346D"/>
    <w:rsid w:val="67762A12"/>
    <w:rsid w:val="677D6EB4"/>
    <w:rsid w:val="67950386"/>
    <w:rsid w:val="67983B2B"/>
    <w:rsid w:val="679B2764"/>
    <w:rsid w:val="67AB4A07"/>
    <w:rsid w:val="67D671E7"/>
    <w:rsid w:val="67E205A1"/>
    <w:rsid w:val="67E978F8"/>
    <w:rsid w:val="67EC3982"/>
    <w:rsid w:val="67EE0E14"/>
    <w:rsid w:val="68030005"/>
    <w:rsid w:val="681A5D7E"/>
    <w:rsid w:val="684B7EA4"/>
    <w:rsid w:val="68525D99"/>
    <w:rsid w:val="68577AE5"/>
    <w:rsid w:val="686D5F80"/>
    <w:rsid w:val="688A4495"/>
    <w:rsid w:val="68917132"/>
    <w:rsid w:val="689734BD"/>
    <w:rsid w:val="68A14C0D"/>
    <w:rsid w:val="68AD205B"/>
    <w:rsid w:val="68B856E1"/>
    <w:rsid w:val="68CA292A"/>
    <w:rsid w:val="68F04F75"/>
    <w:rsid w:val="68F14D31"/>
    <w:rsid w:val="68F53477"/>
    <w:rsid w:val="68F92DBF"/>
    <w:rsid w:val="6922138F"/>
    <w:rsid w:val="69265661"/>
    <w:rsid w:val="692E096F"/>
    <w:rsid w:val="69360704"/>
    <w:rsid w:val="69490149"/>
    <w:rsid w:val="696C260A"/>
    <w:rsid w:val="69B231FD"/>
    <w:rsid w:val="69BB4ADC"/>
    <w:rsid w:val="69C82DA7"/>
    <w:rsid w:val="6A197ABD"/>
    <w:rsid w:val="6A4D5FF3"/>
    <w:rsid w:val="6A503012"/>
    <w:rsid w:val="6A615A8D"/>
    <w:rsid w:val="6A794FDE"/>
    <w:rsid w:val="6A7F2529"/>
    <w:rsid w:val="6A980A69"/>
    <w:rsid w:val="6AA3205B"/>
    <w:rsid w:val="6AC42C22"/>
    <w:rsid w:val="6AF26B3F"/>
    <w:rsid w:val="6B2E0520"/>
    <w:rsid w:val="6B633598"/>
    <w:rsid w:val="6B6D0A30"/>
    <w:rsid w:val="6B7164B9"/>
    <w:rsid w:val="6B826114"/>
    <w:rsid w:val="6B95409A"/>
    <w:rsid w:val="6BE80FAB"/>
    <w:rsid w:val="6BEC3CBA"/>
    <w:rsid w:val="6BEE2087"/>
    <w:rsid w:val="6BEF1585"/>
    <w:rsid w:val="6BF32B3B"/>
    <w:rsid w:val="6C525289"/>
    <w:rsid w:val="6C56658C"/>
    <w:rsid w:val="6C642948"/>
    <w:rsid w:val="6C663340"/>
    <w:rsid w:val="6C910CB6"/>
    <w:rsid w:val="6C9F7A56"/>
    <w:rsid w:val="6CA200F0"/>
    <w:rsid w:val="6CD03F54"/>
    <w:rsid w:val="6CE64481"/>
    <w:rsid w:val="6CEE2811"/>
    <w:rsid w:val="6D054B70"/>
    <w:rsid w:val="6D15200A"/>
    <w:rsid w:val="6D1B7997"/>
    <w:rsid w:val="6D1D4AFF"/>
    <w:rsid w:val="6D30394E"/>
    <w:rsid w:val="6D3E73FE"/>
    <w:rsid w:val="6D497BF3"/>
    <w:rsid w:val="6D6C376E"/>
    <w:rsid w:val="6D6D06FE"/>
    <w:rsid w:val="6D917297"/>
    <w:rsid w:val="6DA86F37"/>
    <w:rsid w:val="6DB175E8"/>
    <w:rsid w:val="6DC4078E"/>
    <w:rsid w:val="6DD82E6F"/>
    <w:rsid w:val="6DF8036A"/>
    <w:rsid w:val="6DFB7D5C"/>
    <w:rsid w:val="6DFC0FA6"/>
    <w:rsid w:val="6DFE2388"/>
    <w:rsid w:val="6E020473"/>
    <w:rsid w:val="6E11552E"/>
    <w:rsid w:val="6E2313F4"/>
    <w:rsid w:val="6E4143A7"/>
    <w:rsid w:val="6E723CE4"/>
    <w:rsid w:val="6E8910F9"/>
    <w:rsid w:val="6E91666F"/>
    <w:rsid w:val="6E9E6D02"/>
    <w:rsid w:val="6EA14806"/>
    <w:rsid w:val="6EB47B1E"/>
    <w:rsid w:val="6EBE1A25"/>
    <w:rsid w:val="6EBF2FFC"/>
    <w:rsid w:val="6EC03D92"/>
    <w:rsid w:val="6ED1521F"/>
    <w:rsid w:val="6EF13B31"/>
    <w:rsid w:val="6F0B4673"/>
    <w:rsid w:val="6F194DE9"/>
    <w:rsid w:val="6F2006A7"/>
    <w:rsid w:val="6F27315B"/>
    <w:rsid w:val="6F331E8C"/>
    <w:rsid w:val="6F414857"/>
    <w:rsid w:val="6F5558EE"/>
    <w:rsid w:val="6F6B17AC"/>
    <w:rsid w:val="6F90501F"/>
    <w:rsid w:val="6FA80114"/>
    <w:rsid w:val="6FC53640"/>
    <w:rsid w:val="6FEA5EFF"/>
    <w:rsid w:val="7000533D"/>
    <w:rsid w:val="700A2656"/>
    <w:rsid w:val="700E6F9B"/>
    <w:rsid w:val="701832BD"/>
    <w:rsid w:val="70363BBF"/>
    <w:rsid w:val="703D6AAE"/>
    <w:rsid w:val="706C7393"/>
    <w:rsid w:val="706D6DE5"/>
    <w:rsid w:val="707729DB"/>
    <w:rsid w:val="709660FC"/>
    <w:rsid w:val="709E110E"/>
    <w:rsid w:val="70AA060B"/>
    <w:rsid w:val="70BF6CB1"/>
    <w:rsid w:val="70C63613"/>
    <w:rsid w:val="70CC1BE0"/>
    <w:rsid w:val="70DE532B"/>
    <w:rsid w:val="70F14C92"/>
    <w:rsid w:val="71244BCB"/>
    <w:rsid w:val="713C1469"/>
    <w:rsid w:val="71687B5B"/>
    <w:rsid w:val="71771B4C"/>
    <w:rsid w:val="71777C1F"/>
    <w:rsid w:val="71C01F58"/>
    <w:rsid w:val="720C2BDC"/>
    <w:rsid w:val="722E4900"/>
    <w:rsid w:val="722E78BF"/>
    <w:rsid w:val="723C62EB"/>
    <w:rsid w:val="72535CB3"/>
    <w:rsid w:val="72601582"/>
    <w:rsid w:val="726105EC"/>
    <w:rsid w:val="726E54DD"/>
    <w:rsid w:val="72A2430F"/>
    <w:rsid w:val="72A3091A"/>
    <w:rsid w:val="72A65EE7"/>
    <w:rsid w:val="72B92879"/>
    <w:rsid w:val="72BE7F8F"/>
    <w:rsid w:val="72C6583F"/>
    <w:rsid w:val="72D134DE"/>
    <w:rsid w:val="72D22244"/>
    <w:rsid w:val="72D42A57"/>
    <w:rsid w:val="72EE1403"/>
    <w:rsid w:val="72FD0776"/>
    <w:rsid w:val="730055E4"/>
    <w:rsid w:val="73065F55"/>
    <w:rsid w:val="730B44CC"/>
    <w:rsid w:val="7318110C"/>
    <w:rsid w:val="73610C3C"/>
    <w:rsid w:val="736224F9"/>
    <w:rsid w:val="73677EED"/>
    <w:rsid w:val="73697BBA"/>
    <w:rsid w:val="736D3206"/>
    <w:rsid w:val="73763936"/>
    <w:rsid w:val="73AB5F07"/>
    <w:rsid w:val="74046AE0"/>
    <w:rsid w:val="740E49D2"/>
    <w:rsid w:val="743256E2"/>
    <w:rsid w:val="74432492"/>
    <w:rsid w:val="744C3893"/>
    <w:rsid w:val="74503106"/>
    <w:rsid w:val="746425A7"/>
    <w:rsid w:val="74793E2D"/>
    <w:rsid w:val="748D05FE"/>
    <w:rsid w:val="74904F5A"/>
    <w:rsid w:val="74933A6B"/>
    <w:rsid w:val="74AC1655"/>
    <w:rsid w:val="74BD7A58"/>
    <w:rsid w:val="74C4007A"/>
    <w:rsid w:val="74E025AC"/>
    <w:rsid w:val="74F13428"/>
    <w:rsid w:val="750116AA"/>
    <w:rsid w:val="75073709"/>
    <w:rsid w:val="750816EA"/>
    <w:rsid w:val="750F2972"/>
    <w:rsid w:val="753A7B6F"/>
    <w:rsid w:val="755820E5"/>
    <w:rsid w:val="756F6C3E"/>
    <w:rsid w:val="75740598"/>
    <w:rsid w:val="75746B39"/>
    <w:rsid w:val="75776D67"/>
    <w:rsid w:val="758331B5"/>
    <w:rsid w:val="75977D48"/>
    <w:rsid w:val="759F3AEC"/>
    <w:rsid w:val="75A32CD3"/>
    <w:rsid w:val="75A43018"/>
    <w:rsid w:val="75B722A8"/>
    <w:rsid w:val="75CA1CF2"/>
    <w:rsid w:val="75E031FF"/>
    <w:rsid w:val="75FB05B5"/>
    <w:rsid w:val="75FE0616"/>
    <w:rsid w:val="760910BF"/>
    <w:rsid w:val="761A1D50"/>
    <w:rsid w:val="763B7516"/>
    <w:rsid w:val="765663F6"/>
    <w:rsid w:val="76674885"/>
    <w:rsid w:val="76AA29C3"/>
    <w:rsid w:val="76BA0E58"/>
    <w:rsid w:val="76E52476"/>
    <w:rsid w:val="771012B7"/>
    <w:rsid w:val="772C5186"/>
    <w:rsid w:val="773F0D3E"/>
    <w:rsid w:val="77413FFC"/>
    <w:rsid w:val="775E7605"/>
    <w:rsid w:val="777F5BFE"/>
    <w:rsid w:val="778C6877"/>
    <w:rsid w:val="779C40BA"/>
    <w:rsid w:val="779C410A"/>
    <w:rsid w:val="77B26915"/>
    <w:rsid w:val="77D21129"/>
    <w:rsid w:val="77D472A1"/>
    <w:rsid w:val="77EC6F96"/>
    <w:rsid w:val="77F60C91"/>
    <w:rsid w:val="78041D25"/>
    <w:rsid w:val="78060F3D"/>
    <w:rsid w:val="78356715"/>
    <w:rsid w:val="783C3AEF"/>
    <w:rsid w:val="7852288B"/>
    <w:rsid w:val="787E5EB6"/>
    <w:rsid w:val="7883011B"/>
    <w:rsid w:val="788F2125"/>
    <w:rsid w:val="78D37129"/>
    <w:rsid w:val="79140A42"/>
    <w:rsid w:val="7922312F"/>
    <w:rsid w:val="792C68D0"/>
    <w:rsid w:val="794F15B9"/>
    <w:rsid w:val="79952474"/>
    <w:rsid w:val="799B6894"/>
    <w:rsid w:val="79A2762D"/>
    <w:rsid w:val="79A358D7"/>
    <w:rsid w:val="79B37DE1"/>
    <w:rsid w:val="79B5302A"/>
    <w:rsid w:val="79C370D7"/>
    <w:rsid w:val="79D35D8D"/>
    <w:rsid w:val="79E668F6"/>
    <w:rsid w:val="79ED5673"/>
    <w:rsid w:val="79EE46E0"/>
    <w:rsid w:val="79FB10E0"/>
    <w:rsid w:val="7A072443"/>
    <w:rsid w:val="7A110938"/>
    <w:rsid w:val="7A170370"/>
    <w:rsid w:val="7A235120"/>
    <w:rsid w:val="7A2741EC"/>
    <w:rsid w:val="7A361F18"/>
    <w:rsid w:val="7A772BBC"/>
    <w:rsid w:val="7A7E37E0"/>
    <w:rsid w:val="7A841359"/>
    <w:rsid w:val="7A8D60AA"/>
    <w:rsid w:val="7AA87D65"/>
    <w:rsid w:val="7AC313F4"/>
    <w:rsid w:val="7AD37E40"/>
    <w:rsid w:val="7ADF476F"/>
    <w:rsid w:val="7B0855DA"/>
    <w:rsid w:val="7B2E1248"/>
    <w:rsid w:val="7B366F41"/>
    <w:rsid w:val="7B39413F"/>
    <w:rsid w:val="7B4C4049"/>
    <w:rsid w:val="7B53032D"/>
    <w:rsid w:val="7B574BAA"/>
    <w:rsid w:val="7B753D96"/>
    <w:rsid w:val="7B7B048A"/>
    <w:rsid w:val="7B897830"/>
    <w:rsid w:val="7B9A7651"/>
    <w:rsid w:val="7BA56F83"/>
    <w:rsid w:val="7BA62ECA"/>
    <w:rsid w:val="7BA9679C"/>
    <w:rsid w:val="7BC2255D"/>
    <w:rsid w:val="7BCC6F38"/>
    <w:rsid w:val="7BD36518"/>
    <w:rsid w:val="7BDE117C"/>
    <w:rsid w:val="7BFF10BB"/>
    <w:rsid w:val="7C391E4E"/>
    <w:rsid w:val="7C400614"/>
    <w:rsid w:val="7C5533D1"/>
    <w:rsid w:val="7C5C7E0A"/>
    <w:rsid w:val="7C6A34DF"/>
    <w:rsid w:val="7C765821"/>
    <w:rsid w:val="7C7B0082"/>
    <w:rsid w:val="7C8571DD"/>
    <w:rsid w:val="7C9910EE"/>
    <w:rsid w:val="7C991510"/>
    <w:rsid w:val="7C9A0A16"/>
    <w:rsid w:val="7CB14B1C"/>
    <w:rsid w:val="7CBD1C77"/>
    <w:rsid w:val="7CBD202D"/>
    <w:rsid w:val="7CBD5D6A"/>
    <w:rsid w:val="7CCC43C3"/>
    <w:rsid w:val="7CD66810"/>
    <w:rsid w:val="7CDB280D"/>
    <w:rsid w:val="7CDB38D7"/>
    <w:rsid w:val="7CF26D61"/>
    <w:rsid w:val="7CF451AF"/>
    <w:rsid w:val="7D153065"/>
    <w:rsid w:val="7D2252EC"/>
    <w:rsid w:val="7D501083"/>
    <w:rsid w:val="7D5F62B6"/>
    <w:rsid w:val="7D6A79F6"/>
    <w:rsid w:val="7D8245ED"/>
    <w:rsid w:val="7D95302D"/>
    <w:rsid w:val="7DA43CC8"/>
    <w:rsid w:val="7DBB731B"/>
    <w:rsid w:val="7E1468C5"/>
    <w:rsid w:val="7E340D3B"/>
    <w:rsid w:val="7E4F46C1"/>
    <w:rsid w:val="7E5854CD"/>
    <w:rsid w:val="7E7B2D9B"/>
    <w:rsid w:val="7EB02B41"/>
    <w:rsid w:val="7ED700CE"/>
    <w:rsid w:val="7EF636A8"/>
    <w:rsid w:val="7EF75F08"/>
    <w:rsid w:val="7F4631CF"/>
    <w:rsid w:val="7F4C5FDB"/>
    <w:rsid w:val="7F4D0EB9"/>
    <w:rsid w:val="7F99624F"/>
    <w:rsid w:val="7FBD3767"/>
    <w:rsid w:val="7FC56178"/>
    <w:rsid w:val="7FC94644"/>
    <w:rsid w:val="7FCB7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name="toc 9"/>
    <w:lsdException w:qFormat="1"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qFormat="1" w:unhideWhenUsed="0"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6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6"/>
    <w:qFormat/>
    <w:uiPriority w:val="0"/>
    <w:pPr>
      <w:keepNext/>
      <w:keepLines/>
      <w:numPr>
        <w:ilvl w:val="1"/>
        <w:numId w:val="1"/>
      </w:numPr>
      <w:spacing w:beforeLines="100" w:afterLines="100"/>
      <w:jc w:val="left"/>
      <w:outlineLvl w:val="1"/>
    </w:pPr>
    <w:rPr>
      <w:rFonts w:ascii="Arial" w:hAnsi="Arial"/>
      <w:b/>
      <w:bCs/>
      <w:kern w:val="0"/>
      <w:sz w:val="28"/>
      <w:szCs w:val="36"/>
    </w:rPr>
  </w:style>
  <w:style w:type="paragraph" w:styleId="4">
    <w:name w:val="heading 3"/>
    <w:basedOn w:val="1"/>
    <w:next w:val="1"/>
    <w:link w:val="67"/>
    <w:qFormat/>
    <w:uiPriority w:val="0"/>
    <w:pPr>
      <w:keepNext/>
      <w:keepLines/>
      <w:numPr>
        <w:ilvl w:val="2"/>
        <w:numId w:val="1"/>
      </w:numPr>
      <w:spacing w:beforeLines="100" w:afterLines="100"/>
      <w:jc w:val="left"/>
      <w:outlineLvl w:val="2"/>
    </w:pPr>
    <w:rPr>
      <w:rFonts w:ascii="Arial" w:hAnsi="Arial" w:eastAsia="黑体"/>
      <w:b/>
      <w:bCs/>
      <w:kern w:val="0"/>
      <w:sz w:val="30"/>
      <w:szCs w:val="32"/>
    </w:rPr>
  </w:style>
  <w:style w:type="paragraph" w:styleId="5">
    <w:name w:val="heading 4"/>
    <w:basedOn w:val="1"/>
    <w:next w:val="1"/>
    <w:link w:val="68"/>
    <w:qFormat/>
    <w:uiPriority w:val="0"/>
    <w:pPr>
      <w:spacing w:before="280" w:after="290" w:line="377" w:lineRule="auto"/>
      <w:outlineLvl w:val="3"/>
    </w:pPr>
    <w:rPr>
      <w:rFonts w:ascii="Arial" w:hAnsi="Arial" w:eastAsia="黑体"/>
      <w:b/>
      <w:bCs/>
      <w:kern w:val="0"/>
      <w:sz w:val="28"/>
      <w:szCs w:val="28"/>
    </w:rPr>
  </w:style>
  <w:style w:type="paragraph" w:styleId="6">
    <w:name w:val="heading 5"/>
    <w:basedOn w:val="1"/>
    <w:next w:val="1"/>
    <w:link w:val="70"/>
    <w:qFormat/>
    <w:uiPriority w:val="0"/>
    <w:pPr>
      <w:keepNext/>
      <w:keepLines/>
      <w:spacing w:before="280" w:after="290" w:line="376" w:lineRule="auto"/>
      <w:outlineLvl w:val="4"/>
    </w:pPr>
    <w:rPr>
      <w:rFonts w:ascii="Calibri" w:hAnsi="Calibri"/>
      <w:b/>
      <w:bCs/>
      <w:kern w:val="0"/>
      <w:sz w:val="28"/>
      <w:szCs w:val="28"/>
    </w:rPr>
  </w:style>
  <w:style w:type="paragraph" w:styleId="7">
    <w:name w:val="heading 6"/>
    <w:basedOn w:val="1"/>
    <w:next w:val="1"/>
    <w:link w:val="71"/>
    <w:qFormat/>
    <w:uiPriority w:val="0"/>
    <w:pPr>
      <w:keepNext/>
      <w:keepLines/>
      <w:spacing w:before="240" w:after="64" w:line="320" w:lineRule="auto"/>
      <w:ind w:left="1152" w:hanging="1152"/>
      <w:outlineLvl w:val="5"/>
    </w:pPr>
    <w:rPr>
      <w:rFonts w:ascii="Cambria" w:hAnsi="Cambria"/>
      <w:b/>
      <w:bCs/>
      <w:kern w:val="0"/>
      <w:sz w:val="24"/>
      <w:szCs w:val="24"/>
    </w:rPr>
  </w:style>
  <w:style w:type="paragraph" w:styleId="8">
    <w:name w:val="heading 7"/>
    <w:basedOn w:val="1"/>
    <w:next w:val="1"/>
    <w:link w:val="72"/>
    <w:qFormat/>
    <w:uiPriority w:val="0"/>
    <w:pPr>
      <w:keepNext/>
      <w:keepLines/>
      <w:spacing w:before="240" w:after="64" w:line="320" w:lineRule="auto"/>
      <w:ind w:left="1296" w:hanging="1296"/>
      <w:outlineLvl w:val="6"/>
    </w:pPr>
    <w:rPr>
      <w:b/>
      <w:bCs/>
      <w:kern w:val="0"/>
      <w:sz w:val="24"/>
      <w:szCs w:val="24"/>
    </w:rPr>
  </w:style>
  <w:style w:type="paragraph" w:styleId="9">
    <w:name w:val="heading 8"/>
    <w:basedOn w:val="1"/>
    <w:next w:val="1"/>
    <w:link w:val="73"/>
    <w:qFormat/>
    <w:uiPriority w:val="0"/>
    <w:pPr>
      <w:keepNext/>
      <w:keepLines/>
      <w:spacing w:before="240" w:after="64" w:line="320" w:lineRule="auto"/>
      <w:ind w:left="1440" w:hanging="1440"/>
      <w:outlineLvl w:val="7"/>
    </w:pPr>
    <w:rPr>
      <w:rFonts w:ascii="Cambria" w:hAnsi="Cambria"/>
      <w:kern w:val="0"/>
      <w:sz w:val="24"/>
      <w:szCs w:val="24"/>
    </w:rPr>
  </w:style>
  <w:style w:type="paragraph" w:styleId="10">
    <w:name w:val="heading 9"/>
    <w:basedOn w:val="1"/>
    <w:next w:val="1"/>
    <w:link w:val="74"/>
    <w:qFormat/>
    <w:uiPriority w:val="0"/>
    <w:pPr>
      <w:keepNext/>
      <w:keepLines/>
      <w:spacing w:before="240" w:after="64" w:line="320" w:lineRule="auto"/>
      <w:ind w:left="1584" w:hanging="1584"/>
      <w:outlineLvl w:val="8"/>
    </w:pPr>
    <w:rPr>
      <w:rFonts w:ascii="Cambria" w:hAnsi="Cambria"/>
      <w:kern w:val="0"/>
      <w:sz w:val="20"/>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69"/>
    <w:unhideWhenUsed/>
    <w:qFormat/>
    <w:uiPriority w:val="0"/>
    <w:pPr>
      <w:ind w:firstLine="420" w:firstLineChars="200"/>
    </w:pPr>
  </w:style>
  <w:style w:type="paragraph" w:styleId="12">
    <w:name w:val="Document Map"/>
    <w:basedOn w:val="1"/>
    <w:link w:val="75"/>
    <w:qFormat/>
    <w:uiPriority w:val="0"/>
    <w:rPr>
      <w:rFonts w:ascii="宋体"/>
      <w:sz w:val="18"/>
      <w:szCs w:val="18"/>
    </w:rPr>
  </w:style>
  <w:style w:type="paragraph" w:styleId="13">
    <w:name w:val="annotation text"/>
    <w:basedOn w:val="1"/>
    <w:link w:val="76"/>
    <w:unhideWhenUsed/>
    <w:qFormat/>
    <w:uiPriority w:val="99"/>
    <w:pPr>
      <w:jc w:val="left"/>
    </w:pPr>
    <w:rPr>
      <w:kern w:val="0"/>
      <w:sz w:val="20"/>
      <w:szCs w:val="24"/>
    </w:rPr>
  </w:style>
  <w:style w:type="paragraph" w:styleId="14">
    <w:name w:val="Body Text 3"/>
    <w:basedOn w:val="1"/>
    <w:link w:val="77"/>
    <w:qFormat/>
    <w:uiPriority w:val="0"/>
    <w:rPr>
      <w:rFonts w:ascii="宋体"/>
      <w:sz w:val="24"/>
      <w:szCs w:val="20"/>
    </w:rPr>
  </w:style>
  <w:style w:type="paragraph" w:styleId="15">
    <w:name w:val="Body Text"/>
    <w:basedOn w:val="1"/>
    <w:next w:val="1"/>
    <w:link w:val="78"/>
    <w:qFormat/>
    <w:uiPriority w:val="0"/>
    <w:rPr>
      <w:rFonts w:ascii="楷体_GB2312" w:hAnsi="Arial" w:eastAsia="楷体_GB2312"/>
      <w:kern w:val="0"/>
      <w:sz w:val="28"/>
      <w:szCs w:val="28"/>
    </w:rPr>
  </w:style>
  <w:style w:type="paragraph" w:styleId="16">
    <w:name w:val="Body Text Indent"/>
    <w:basedOn w:val="1"/>
    <w:next w:val="1"/>
    <w:link w:val="79"/>
    <w:qFormat/>
    <w:uiPriority w:val="99"/>
    <w:pPr>
      <w:spacing w:after="120"/>
      <w:ind w:left="420" w:leftChars="200"/>
    </w:pPr>
    <w:rPr>
      <w:kern w:val="0"/>
      <w:sz w:val="20"/>
      <w:szCs w:val="24"/>
    </w:rPr>
  </w:style>
  <w:style w:type="paragraph" w:styleId="17">
    <w:name w:val="List Bullet 2"/>
    <w:basedOn w:val="1"/>
    <w:unhideWhenUsed/>
    <w:qFormat/>
    <w:uiPriority w:val="99"/>
    <w:pPr>
      <w:numPr>
        <w:ilvl w:val="0"/>
        <w:numId w:val="2"/>
      </w:numPr>
    </w:pPr>
  </w:style>
  <w:style w:type="paragraph" w:styleId="18">
    <w:name w:val="index 4"/>
    <w:basedOn w:val="1"/>
    <w:next w:val="1"/>
    <w:unhideWhenUsed/>
    <w:qFormat/>
    <w:uiPriority w:val="99"/>
    <w:pPr>
      <w:ind w:left="600" w:leftChars="600"/>
    </w:pPr>
    <w:rPr>
      <w:szCs w:val="20"/>
    </w:rPr>
  </w:style>
  <w:style w:type="paragraph" w:styleId="19">
    <w:name w:val="toc 3"/>
    <w:basedOn w:val="1"/>
    <w:next w:val="1"/>
    <w:unhideWhenUsed/>
    <w:qFormat/>
    <w:uiPriority w:val="39"/>
    <w:pPr>
      <w:ind w:left="840" w:leftChars="400"/>
    </w:pPr>
    <w:rPr>
      <w:rFonts w:ascii="Calibri" w:hAnsi="Calibri"/>
    </w:rPr>
  </w:style>
  <w:style w:type="paragraph" w:styleId="20">
    <w:name w:val="Plain Text"/>
    <w:basedOn w:val="1"/>
    <w:link w:val="80"/>
    <w:qFormat/>
    <w:uiPriority w:val="0"/>
    <w:rPr>
      <w:rFonts w:ascii="宋体" w:hAnsi="Courier New"/>
      <w:kern w:val="0"/>
      <w:sz w:val="20"/>
      <w:szCs w:val="21"/>
    </w:rPr>
  </w:style>
  <w:style w:type="paragraph" w:styleId="21">
    <w:name w:val="Body Text Indent 2"/>
    <w:basedOn w:val="1"/>
    <w:link w:val="81"/>
    <w:qFormat/>
    <w:uiPriority w:val="0"/>
    <w:pPr>
      <w:snapToGrid w:val="0"/>
      <w:spacing w:line="480" w:lineRule="exact"/>
      <w:ind w:firstLine="562" w:firstLineChars="200"/>
    </w:pPr>
    <w:rPr>
      <w:rFonts w:ascii="楷体_GB2312" w:eastAsia="楷体_GB2312"/>
      <w:b/>
      <w:bCs/>
      <w:kern w:val="0"/>
      <w:sz w:val="28"/>
      <w:szCs w:val="24"/>
    </w:rPr>
  </w:style>
  <w:style w:type="paragraph" w:styleId="22">
    <w:name w:val="Balloon Text"/>
    <w:basedOn w:val="1"/>
    <w:link w:val="82"/>
    <w:unhideWhenUsed/>
    <w:qFormat/>
    <w:uiPriority w:val="99"/>
    <w:rPr>
      <w:kern w:val="0"/>
      <w:sz w:val="18"/>
      <w:szCs w:val="18"/>
    </w:rPr>
  </w:style>
  <w:style w:type="paragraph" w:styleId="23">
    <w:name w:val="footer"/>
    <w:basedOn w:val="1"/>
    <w:link w:val="83"/>
    <w:unhideWhenUsed/>
    <w:qFormat/>
    <w:uiPriority w:val="99"/>
    <w:pPr>
      <w:tabs>
        <w:tab w:val="center" w:pos="4153"/>
        <w:tab w:val="right" w:pos="8306"/>
      </w:tabs>
      <w:snapToGrid w:val="0"/>
      <w:jc w:val="left"/>
    </w:pPr>
    <w:rPr>
      <w:kern w:val="0"/>
      <w:sz w:val="18"/>
      <w:szCs w:val="18"/>
    </w:rPr>
  </w:style>
  <w:style w:type="paragraph" w:styleId="24">
    <w:name w:val="envelope return"/>
    <w:basedOn w:val="1"/>
    <w:qFormat/>
    <w:uiPriority w:val="99"/>
    <w:pPr>
      <w:widowControl/>
      <w:snapToGrid w:val="0"/>
      <w:jc w:val="left"/>
    </w:pPr>
    <w:rPr>
      <w:rFonts w:ascii="Arial" w:hAnsi="Arial"/>
      <w:kern w:val="0"/>
      <w:sz w:val="20"/>
      <w:szCs w:val="20"/>
    </w:rPr>
  </w:style>
  <w:style w:type="paragraph" w:styleId="25">
    <w:name w:val="header"/>
    <w:basedOn w:val="1"/>
    <w:link w:val="84"/>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unhideWhenUsed/>
    <w:qFormat/>
    <w:uiPriority w:val="39"/>
    <w:rPr>
      <w:rFonts w:ascii="Calibri" w:hAnsi="Calibri"/>
    </w:rPr>
  </w:style>
  <w:style w:type="paragraph" w:styleId="27">
    <w:name w:val="table of figures"/>
    <w:basedOn w:val="1"/>
    <w:next w:val="1"/>
    <w:semiHidden/>
    <w:qFormat/>
    <w:uiPriority w:val="0"/>
    <w:pPr>
      <w:spacing w:beforeLines="50" w:afterLines="50"/>
      <w:ind w:left="840" w:leftChars="200" w:hanging="420" w:hangingChars="200"/>
    </w:pPr>
    <w:rPr>
      <w:sz w:val="24"/>
      <w:szCs w:val="24"/>
    </w:rPr>
  </w:style>
  <w:style w:type="paragraph" w:styleId="28">
    <w:name w:val="toc 2"/>
    <w:basedOn w:val="1"/>
    <w:next w:val="1"/>
    <w:unhideWhenUsed/>
    <w:qFormat/>
    <w:uiPriority w:val="39"/>
    <w:pPr>
      <w:ind w:left="420" w:leftChars="200"/>
    </w:pPr>
    <w:rPr>
      <w:rFonts w:ascii="Calibri" w:hAnsi="Calibri"/>
    </w:rPr>
  </w:style>
  <w:style w:type="paragraph" w:styleId="29">
    <w:name w:val="toc 9"/>
    <w:basedOn w:val="1"/>
    <w:next w:val="1"/>
    <w:semiHidden/>
    <w:qFormat/>
    <w:uiPriority w:val="0"/>
    <w:pPr>
      <w:ind w:left="3360" w:leftChars="1600"/>
    </w:pPr>
  </w:style>
  <w:style w:type="paragraph" w:styleId="30">
    <w:name w:val="Normal (Web)"/>
    <w:basedOn w:val="1"/>
    <w:unhideWhenUsed/>
    <w:qFormat/>
    <w:uiPriority w:val="99"/>
    <w:pPr>
      <w:spacing w:beforeAutospacing="1" w:afterAutospacing="1"/>
      <w:jc w:val="left"/>
    </w:pPr>
    <w:rPr>
      <w:kern w:val="0"/>
      <w:sz w:val="24"/>
    </w:rPr>
  </w:style>
  <w:style w:type="paragraph" w:styleId="31">
    <w:name w:val="annotation subject"/>
    <w:basedOn w:val="13"/>
    <w:next w:val="13"/>
    <w:link w:val="85"/>
    <w:unhideWhenUsed/>
    <w:qFormat/>
    <w:uiPriority w:val="99"/>
    <w:rPr>
      <w:b/>
      <w:bCs/>
      <w:szCs w:val="20"/>
    </w:rPr>
  </w:style>
  <w:style w:type="paragraph" w:styleId="32">
    <w:name w:val="Body Text First Indent"/>
    <w:basedOn w:val="15"/>
    <w:qFormat/>
    <w:uiPriority w:val="0"/>
    <w:pPr>
      <w:spacing w:after="120"/>
      <w:ind w:left="300" w:firstLine="420"/>
    </w:pPr>
    <w:rPr>
      <w:rFonts w:ascii="宋体" w:hAnsi="Verdana"/>
      <w:lang w:val="en-GB"/>
    </w:rPr>
  </w:style>
  <w:style w:type="paragraph" w:styleId="33">
    <w:name w:val="Body Text First Indent 2"/>
    <w:basedOn w:val="16"/>
    <w:next w:val="1"/>
    <w:qFormat/>
    <w:uiPriority w:val="0"/>
    <w:pPr>
      <w:ind w:firstLine="420"/>
    </w:pPr>
  </w:style>
  <w:style w:type="table" w:styleId="35">
    <w:name w:val="Table Grid"/>
    <w:basedOn w:val="34"/>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22"/>
    <w:rPr>
      <w:rFonts w:ascii="Tahoma" w:hAnsi="Tahoma" w:eastAsia="宋体"/>
      <w:b/>
      <w:bCs/>
      <w:spacing w:val="10"/>
      <w:sz w:val="24"/>
      <w:lang w:val="en-US" w:eastAsia="zh-CN" w:bidi="ar-SA"/>
    </w:rPr>
  </w:style>
  <w:style w:type="character" w:styleId="38">
    <w:name w:val="page number"/>
    <w:qFormat/>
    <w:uiPriority w:val="0"/>
  </w:style>
  <w:style w:type="character" w:styleId="39">
    <w:name w:val="FollowedHyperlink"/>
    <w:unhideWhenUsed/>
    <w:qFormat/>
    <w:uiPriority w:val="99"/>
    <w:rPr>
      <w:color w:val="333333"/>
      <w:u w:val="none"/>
    </w:rPr>
  </w:style>
  <w:style w:type="character" w:styleId="40">
    <w:name w:val="Emphasis"/>
    <w:qFormat/>
    <w:uiPriority w:val="0"/>
    <w:rPr>
      <w:rFonts w:ascii="Times New Roman" w:hAnsi="Times New Roman"/>
      <w:i/>
      <w:iCs/>
      <w:sz w:val="21"/>
      <w:szCs w:val="20"/>
    </w:rPr>
  </w:style>
  <w:style w:type="character" w:styleId="41">
    <w:name w:val="HTML Definition"/>
    <w:unhideWhenUsed/>
    <w:qFormat/>
    <w:uiPriority w:val="99"/>
    <w:rPr>
      <w:i/>
    </w:rPr>
  </w:style>
  <w:style w:type="character" w:styleId="42">
    <w:name w:val="Hyperlink"/>
    <w:unhideWhenUsed/>
    <w:qFormat/>
    <w:uiPriority w:val="0"/>
    <w:rPr>
      <w:color w:val="333333"/>
      <w:u w:val="none"/>
    </w:rPr>
  </w:style>
  <w:style w:type="character" w:styleId="43">
    <w:name w:val="HTML Code"/>
    <w:unhideWhenUsed/>
    <w:qFormat/>
    <w:uiPriority w:val="99"/>
    <w:rPr>
      <w:rFonts w:ascii="Consolas" w:hAnsi="Consolas" w:eastAsia="Consolas" w:cs="Consolas"/>
      <w:color w:val="C7254E"/>
      <w:sz w:val="21"/>
      <w:szCs w:val="21"/>
      <w:shd w:val="clear" w:color="auto" w:fill="F9F2F4"/>
    </w:rPr>
  </w:style>
  <w:style w:type="character" w:styleId="44">
    <w:name w:val="annotation reference"/>
    <w:unhideWhenUsed/>
    <w:qFormat/>
    <w:uiPriority w:val="0"/>
    <w:rPr>
      <w:sz w:val="21"/>
      <w:szCs w:val="21"/>
    </w:rPr>
  </w:style>
  <w:style w:type="character" w:styleId="45">
    <w:name w:val="HTML Keyboard"/>
    <w:unhideWhenUsed/>
    <w:qFormat/>
    <w:uiPriority w:val="99"/>
    <w:rPr>
      <w:rFonts w:hint="default" w:ascii="Consolas" w:hAnsi="Consolas" w:eastAsia="Consolas" w:cs="Consolas"/>
      <w:color w:val="FFFFFF"/>
      <w:sz w:val="21"/>
      <w:szCs w:val="21"/>
      <w:shd w:val="clear" w:color="auto" w:fill="333333"/>
    </w:rPr>
  </w:style>
  <w:style w:type="character" w:styleId="46">
    <w:name w:val="HTML Sample"/>
    <w:unhideWhenUsed/>
    <w:qFormat/>
    <w:uiPriority w:val="99"/>
    <w:rPr>
      <w:rFonts w:hint="default" w:ascii="Consolas" w:hAnsi="Consolas" w:eastAsia="Consolas" w:cs="Consolas"/>
      <w:sz w:val="21"/>
      <w:szCs w:val="21"/>
    </w:rPr>
  </w:style>
  <w:style w:type="paragraph" w:customStyle="1" w:styleId="47">
    <w:name w:val="正文（缩进）"/>
    <w:basedOn w:val="48"/>
    <w:next w:val="49"/>
    <w:qFormat/>
    <w:uiPriority w:val="0"/>
    <w:pPr>
      <w:spacing w:before="156" w:after="156"/>
      <w:ind w:firstLine="480" w:firstLineChars="200"/>
    </w:pPr>
  </w:style>
  <w:style w:type="paragraph" w:customStyle="1" w:styleId="48">
    <w:name w:val="正文_2_0"/>
    <w:next w:val="4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Char Char Char Char Char Char Char Char Char"/>
    <w:basedOn w:val="1"/>
    <w:next w:val="50"/>
    <w:qFormat/>
    <w:uiPriority w:val="99"/>
    <w:pPr>
      <w:ind w:left="360" w:firstLine="5784"/>
    </w:pPr>
  </w:style>
  <w:style w:type="paragraph" w:customStyle="1" w:styleId="50">
    <w:name w:val="正文文本 21"/>
    <w:basedOn w:val="1"/>
    <w:next w:val="51"/>
    <w:qFormat/>
    <w:uiPriority w:val="99"/>
    <w:pPr>
      <w:widowControl/>
      <w:autoSpaceDE w:val="0"/>
      <w:autoSpaceDN w:val="0"/>
      <w:ind w:left="720" w:firstLine="5680"/>
    </w:pPr>
  </w:style>
  <w:style w:type="paragraph" w:customStyle="1" w:styleId="51">
    <w:name w:val="默认段落字体 Para Char Char Char Char Char Char Char"/>
    <w:basedOn w:val="1"/>
    <w:next w:val="52"/>
    <w:qFormat/>
    <w:uiPriority w:val="99"/>
    <w:pPr>
      <w:ind w:firstLine="200" w:firstLineChars="200"/>
    </w:pPr>
    <w:rPr>
      <w:rFonts w:cs="Arial"/>
    </w:rPr>
  </w:style>
  <w:style w:type="paragraph" w:customStyle="1" w:styleId="52">
    <w:name w:val="样式 首行缩进:  2 字符"/>
    <w:basedOn w:val="1"/>
    <w:next w:val="53"/>
    <w:qFormat/>
    <w:uiPriority w:val="99"/>
    <w:pPr>
      <w:spacing w:line="360" w:lineRule="auto"/>
      <w:ind w:left="480" w:firstLine="5856"/>
    </w:pPr>
  </w:style>
  <w:style w:type="paragraph" w:customStyle="1" w:styleId="53">
    <w:name w:val="样式 段后: 0.25 行"/>
    <w:basedOn w:val="1"/>
    <w:next w:val="54"/>
    <w:qFormat/>
    <w:uiPriority w:val="99"/>
    <w:pPr>
      <w:widowControl/>
      <w:spacing w:line="300" w:lineRule="auto"/>
      <w:ind w:left="420" w:firstLine="5796"/>
    </w:pPr>
  </w:style>
  <w:style w:type="paragraph" w:customStyle="1" w:styleId="54">
    <w:name w:val="正文 New New New New New New New New New New New New New New"/>
    <w:next w:val="29"/>
    <w:qFormat/>
    <w:uiPriority w:val="99"/>
    <w:pPr>
      <w:widowControl w:val="0"/>
      <w:ind w:firstLine="2048"/>
      <w:jc w:val="both"/>
    </w:pPr>
    <w:rPr>
      <w:rFonts w:ascii="Calibri" w:hAnsi="Calibri" w:eastAsia="宋体" w:cs="Times New Roman"/>
      <w:lang w:val="en-US" w:eastAsia="zh-CN" w:bidi="ar-SA"/>
    </w:rPr>
  </w:style>
  <w:style w:type="paragraph" w:customStyle="1" w:styleId="55">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正文1"/>
    <w:basedOn w:val="1"/>
    <w:next w:val="57"/>
    <w:link w:val="122"/>
    <w:qFormat/>
    <w:uiPriority w:val="99"/>
    <w:pPr>
      <w:snapToGrid w:val="0"/>
      <w:spacing w:line="440" w:lineRule="exact"/>
      <w:ind w:firstLine="480" w:firstLineChars="200"/>
    </w:pPr>
    <w:rPr>
      <w:rFonts w:ascii="微软雅黑" w:hAnsi="微软雅黑" w:eastAsia="微软雅黑"/>
      <w:sz w:val="24"/>
      <w:szCs w:val="20"/>
    </w:rPr>
  </w:style>
  <w:style w:type="paragraph" w:customStyle="1" w:styleId="57">
    <w:name w:val="正文文本1"/>
    <w:basedOn w:val="56"/>
    <w:next w:val="58"/>
    <w:qFormat/>
    <w:uiPriority w:val="0"/>
    <w:pPr>
      <w:spacing w:after="120"/>
    </w:pPr>
    <w:rPr>
      <w:lang w:eastAsia="en-US"/>
    </w:rPr>
  </w:style>
  <w:style w:type="paragraph" w:customStyle="1" w:styleId="58">
    <w:name w:val="一级条标题"/>
    <w:basedOn w:val="59"/>
    <w:next w:val="60"/>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5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60">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paragraph" w:customStyle="1" w:styleId="61">
    <w:name w:val="vsbcontent_start"/>
    <w:basedOn w:val="1"/>
    <w:next w:val="62"/>
    <w:qFormat/>
    <w:uiPriority w:val="0"/>
    <w:pPr>
      <w:widowControl/>
      <w:jc w:val="left"/>
    </w:pPr>
    <w:rPr>
      <w:rFonts w:ascii="宋体" w:hAnsi="宋体" w:cs="宋体"/>
      <w:sz w:val="24"/>
    </w:rPr>
  </w:style>
  <w:style w:type="paragraph" w:customStyle="1" w:styleId="62">
    <w:name w:val="Char Char Char1 Char8"/>
    <w:basedOn w:val="1"/>
    <w:next w:val="63"/>
    <w:unhideWhenUsed/>
    <w:qFormat/>
    <w:uiPriority w:val="99"/>
    <w:pPr>
      <w:spacing w:line="360" w:lineRule="auto"/>
    </w:pPr>
    <w:rPr>
      <w:rFonts w:hint="eastAsia" w:ascii="宋体" w:hAnsi="宋体"/>
      <w:sz w:val="24"/>
    </w:rPr>
  </w:style>
  <w:style w:type="paragraph" w:customStyle="1" w:styleId="63">
    <w:name w:val="Char Char Char1 Char1"/>
    <w:basedOn w:val="1"/>
    <w:unhideWhenUsed/>
    <w:qFormat/>
    <w:uiPriority w:val="99"/>
    <w:pPr>
      <w:spacing w:line="360" w:lineRule="auto"/>
      <w:ind w:firstLine="200"/>
    </w:pPr>
    <w:rPr>
      <w:rFonts w:hint="eastAsia" w:ascii="宋体" w:hAnsi="宋体"/>
      <w:sz w:val="24"/>
    </w:rPr>
  </w:style>
  <w:style w:type="paragraph" w:customStyle="1" w:styleId="6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65">
    <w:name w:val="标题 1 Char"/>
    <w:link w:val="2"/>
    <w:qFormat/>
    <w:uiPriority w:val="9"/>
    <w:rPr>
      <w:b/>
      <w:bCs/>
      <w:kern w:val="44"/>
      <w:sz w:val="44"/>
      <w:szCs w:val="44"/>
    </w:rPr>
  </w:style>
  <w:style w:type="character" w:customStyle="1" w:styleId="66">
    <w:name w:val="标题 2 Char"/>
    <w:link w:val="3"/>
    <w:qFormat/>
    <w:uiPriority w:val="0"/>
    <w:rPr>
      <w:rFonts w:ascii="Arial" w:hAnsi="Arial" w:eastAsia="宋体" w:cs="Times New Roman"/>
      <w:b/>
      <w:bCs/>
      <w:kern w:val="0"/>
      <w:sz w:val="28"/>
      <w:szCs w:val="36"/>
    </w:rPr>
  </w:style>
  <w:style w:type="character" w:customStyle="1" w:styleId="67">
    <w:name w:val="标题 3 Char"/>
    <w:link w:val="4"/>
    <w:qFormat/>
    <w:uiPriority w:val="0"/>
    <w:rPr>
      <w:rFonts w:ascii="Arial" w:hAnsi="Arial" w:eastAsia="黑体" w:cs="Times New Roman"/>
      <w:b/>
      <w:bCs/>
      <w:kern w:val="0"/>
      <w:sz w:val="30"/>
      <w:szCs w:val="32"/>
    </w:rPr>
  </w:style>
  <w:style w:type="character" w:customStyle="1" w:styleId="68">
    <w:name w:val="标题 4 Char"/>
    <w:link w:val="5"/>
    <w:qFormat/>
    <w:uiPriority w:val="0"/>
    <w:rPr>
      <w:rFonts w:ascii="Arial" w:hAnsi="Arial" w:eastAsia="黑体" w:cs="Arial"/>
      <w:b/>
      <w:bCs/>
      <w:sz w:val="28"/>
      <w:szCs w:val="28"/>
    </w:rPr>
  </w:style>
  <w:style w:type="character" w:customStyle="1" w:styleId="69">
    <w:name w:val="正文缩进 Char"/>
    <w:link w:val="11"/>
    <w:qFormat/>
    <w:uiPriority w:val="0"/>
  </w:style>
  <w:style w:type="character" w:customStyle="1" w:styleId="70">
    <w:name w:val="标题 5 Char"/>
    <w:link w:val="6"/>
    <w:qFormat/>
    <w:uiPriority w:val="0"/>
    <w:rPr>
      <w:rFonts w:ascii="Calibri" w:hAnsi="Calibri" w:eastAsia="宋体" w:cs="Times New Roman"/>
      <w:b/>
      <w:bCs/>
      <w:kern w:val="0"/>
      <w:sz w:val="28"/>
      <w:szCs w:val="28"/>
    </w:rPr>
  </w:style>
  <w:style w:type="character" w:customStyle="1" w:styleId="71">
    <w:name w:val="标题 6 Char"/>
    <w:link w:val="7"/>
    <w:qFormat/>
    <w:uiPriority w:val="0"/>
    <w:rPr>
      <w:rFonts w:ascii="Cambria" w:hAnsi="Cambria" w:eastAsia="宋体" w:cs="Times New Roman"/>
      <w:b/>
      <w:bCs/>
      <w:kern w:val="0"/>
      <w:sz w:val="24"/>
      <w:szCs w:val="24"/>
    </w:rPr>
  </w:style>
  <w:style w:type="character" w:customStyle="1" w:styleId="72">
    <w:name w:val="标题 7 Char"/>
    <w:link w:val="8"/>
    <w:qFormat/>
    <w:uiPriority w:val="0"/>
    <w:rPr>
      <w:rFonts w:ascii="Times New Roman" w:hAnsi="Times New Roman" w:eastAsia="宋体" w:cs="Times New Roman"/>
      <w:b/>
      <w:bCs/>
      <w:kern w:val="0"/>
      <w:sz w:val="24"/>
      <w:szCs w:val="24"/>
    </w:rPr>
  </w:style>
  <w:style w:type="character" w:customStyle="1" w:styleId="73">
    <w:name w:val="标题 8 Char"/>
    <w:link w:val="9"/>
    <w:qFormat/>
    <w:uiPriority w:val="0"/>
    <w:rPr>
      <w:rFonts w:ascii="Cambria" w:hAnsi="Cambria" w:eastAsia="宋体" w:cs="Times New Roman"/>
      <w:kern w:val="0"/>
      <w:sz w:val="24"/>
      <w:szCs w:val="24"/>
    </w:rPr>
  </w:style>
  <w:style w:type="character" w:customStyle="1" w:styleId="74">
    <w:name w:val="标题 9 Char"/>
    <w:link w:val="10"/>
    <w:qFormat/>
    <w:uiPriority w:val="0"/>
    <w:rPr>
      <w:rFonts w:ascii="Cambria" w:hAnsi="Cambria" w:eastAsia="宋体" w:cs="Times New Roman"/>
      <w:kern w:val="0"/>
      <w:sz w:val="20"/>
      <w:szCs w:val="21"/>
    </w:rPr>
  </w:style>
  <w:style w:type="character" w:customStyle="1" w:styleId="75">
    <w:name w:val="文档结构图 Char"/>
    <w:link w:val="12"/>
    <w:qFormat/>
    <w:uiPriority w:val="0"/>
    <w:rPr>
      <w:rFonts w:ascii="宋体" w:hAnsi="Times New Roman"/>
      <w:kern w:val="2"/>
      <w:sz w:val="18"/>
      <w:szCs w:val="18"/>
    </w:rPr>
  </w:style>
  <w:style w:type="character" w:customStyle="1" w:styleId="76">
    <w:name w:val="批注文字 Char1"/>
    <w:link w:val="13"/>
    <w:qFormat/>
    <w:uiPriority w:val="99"/>
    <w:rPr>
      <w:rFonts w:ascii="Times New Roman" w:hAnsi="Times New Roman" w:eastAsia="宋体" w:cs="Times New Roman"/>
      <w:szCs w:val="24"/>
    </w:rPr>
  </w:style>
  <w:style w:type="character" w:customStyle="1" w:styleId="77">
    <w:name w:val="正文文本 3 Char"/>
    <w:link w:val="14"/>
    <w:qFormat/>
    <w:uiPriority w:val="0"/>
    <w:rPr>
      <w:rFonts w:ascii="宋体" w:hAnsi="Times New Roman"/>
      <w:kern w:val="2"/>
      <w:sz w:val="24"/>
    </w:rPr>
  </w:style>
  <w:style w:type="character" w:customStyle="1" w:styleId="78">
    <w:name w:val="正文文本 Char"/>
    <w:link w:val="15"/>
    <w:qFormat/>
    <w:uiPriority w:val="0"/>
    <w:rPr>
      <w:rFonts w:ascii="楷体_GB2312" w:hAnsi="Arial" w:eastAsia="楷体_GB2312" w:cs="Times New Roman"/>
      <w:sz w:val="28"/>
      <w:szCs w:val="28"/>
    </w:rPr>
  </w:style>
  <w:style w:type="character" w:customStyle="1" w:styleId="79">
    <w:name w:val="正文文本缩进 Char"/>
    <w:link w:val="16"/>
    <w:qFormat/>
    <w:uiPriority w:val="99"/>
    <w:rPr>
      <w:rFonts w:ascii="Times New Roman" w:hAnsi="Times New Roman"/>
      <w:szCs w:val="24"/>
    </w:rPr>
  </w:style>
  <w:style w:type="character" w:customStyle="1" w:styleId="80">
    <w:name w:val="纯文本 Char"/>
    <w:link w:val="20"/>
    <w:qFormat/>
    <w:uiPriority w:val="0"/>
    <w:rPr>
      <w:rFonts w:ascii="宋体" w:hAnsi="Courier New" w:eastAsia="宋体" w:cs="Times New Roman"/>
      <w:szCs w:val="21"/>
    </w:rPr>
  </w:style>
  <w:style w:type="character" w:customStyle="1" w:styleId="81">
    <w:name w:val="正文文本缩进 2 Char"/>
    <w:link w:val="21"/>
    <w:qFormat/>
    <w:uiPriority w:val="0"/>
    <w:rPr>
      <w:rFonts w:ascii="楷体_GB2312" w:hAnsi="Times New Roman" w:eastAsia="楷体_GB2312"/>
      <w:b/>
      <w:bCs/>
      <w:sz w:val="28"/>
      <w:szCs w:val="24"/>
    </w:rPr>
  </w:style>
  <w:style w:type="character" w:customStyle="1" w:styleId="82">
    <w:name w:val="批注框文本 Char"/>
    <w:link w:val="22"/>
    <w:qFormat/>
    <w:uiPriority w:val="99"/>
    <w:rPr>
      <w:sz w:val="18"/>
      <w:szCs w:val="18"/>
    </w:rPr>
  </w:style>
  <w:style w:type="character" w:customStyle="1" w:styleId="83">
    <w:name w:val="页脚 Char"/>
    <w:link w:val="23"/>
    <w:qFormat/>
    <w:uiPriority w:val="99"/>
    <w:rPr>
      <w:rFonts w:ascii="Times New Roman" w:hAnsi="Times New Roman" w:eastAsia="宋体" w:cs="Times New Roman"/>
      <w:sz w:val="18"/>
      <w:szCs w:val="18"/>
    </w:rPr>
  </w:style>
  <w:style w:type="character" w:customStyle="1" w:styleId="84">
    <w:name w:val="页眉 Char"/>
    <w:link w:val="25"/>
    <w:qFormat/>
    <w:uiPriority w:val="99"/>
    <w:rPr>
      <w:rFonts w:ascii="Times New Roman" w:hAnsi="Times New Roman" w:eastAsia="宋体" w:cs="Times New Roman"/>
      <w:sz w:val="18"/>
      <w:szCs w:val="18"/>
    </w:rPr>
  </w:style>
  <w:style w:type="character" w:customStyle="1" w:styleId="85">
    <w:name w:val="批注主题 Char"/>
    <w:link w:val="31"/>
    <w:qFormat/>
    <w:uiPriority w:val="99"/>
    <w:rPr>
      <w:b/>
      <w:bCs/>
    </w:rPr>
  </w:style>
  <w:style w:type="character" w:customStyle="1" w:styleId="86">
    <w:name w:val="font231"/>
    <w:qFormat/>
    <w:uiPriority w:val="0"/>
    <w:rPr>
      <w:rFonts w:hint="eastAsia" w:ascii="宋体" w:hAnsi="宋体" w:eastAsia="宋体" w:cs="宋体"/>
      <w:color w:val="000000"/>
      <w:sz w:val="20"/>
      <w:szCs w:val="20"/>
      <w:u w:val="none"/>
    </w:rPr>
  </w:style>
  <w:style w:type="character" w:customStyle="1" w:styleId="87">
    <w:name w:val="font01"/>
    <w:qFormat/>
    <w:uiPriority w:val="0"/>
    <w:rPr>
      <w:rFonts w:hint="eastAsia" w:ascii="宋体" w:hAnsi="宋体" w:eastAsia="宋体"/>
      <w:color w:val="000000"/>
      <w:sz w:val="24"/>
      <w:szCs w:val="24"/>
      <w:u w:val="none"/>
    </w:rPr>
  </w:style>
  <w:style w:type="character" w:customStyle="1" w:styleId="88">
    <w:name w:val="表格样式居左 Char"/>
    <w:link w:val="89"/>
    <w:qFormat/>
    <w:uiPriority w:val="0"/>
    <w:rPr>
      <w:rFonts w:eastAsia="仿宋_GB2312"/>
      <w:bCs/>
      <w:color w:val="000000"/>
      <w:kern w:val="2"/>
      <w:sz w:val="21"/>
      <w:szCs w:val="44"/>
      <w:lang w:val="en-US" w:eastAsia="zh-CN" w:bidi="ar-SA"/>
    </w:rPr>
  </w:style>
  <w:style w:type="paragraph" w:customStyle="1" w:styleId="89">
    <w:name w:val="表格样式居左"/>
    <w:link w:val="88"/>
    <w:qFormat/>
    <w:uiPriority w:val="0"/>
    <w:pPr>
      <w:adjustRightInd w:val="0"/>
      <w:snapToGrid w:val="0"/>
      <w:spacing w:line="360" w:lineRule="exact"/>
    </w:pPr>
    <w:rPr>
      <w:rFonts w:ascii="Times New Roman" w:hAnsi="Times New Roman" w:eastAsia="仿宋_GB2312" w:cs="Times New Roman"/>
      <w:bCs/>
      <w:color w:val="000000"/>
      <w:kern w:val="2"/>
      <w:sz w:val="21"/>
      <w:szCs w:val="44"/>
      <w:lang w:val="en-US" w:eastAsia="zh-CN" w:bidi="ar-SA"/>
    </w:rPr>
  </w:style>
  <w:style w:type="character" w:customStyle="1" w:styleId="90">
    <w:name w:val="font211"/>
    <w:qFormat/>
    <w:uiPriority w:val="0"/>
    <w:rPr>
      <w:rFonts w:hint="eastAsia" w:ascii="宋体" w:hAnsi="宋体" w:eastAsia="宋体" w:cs="宋体"/>
      <w:color w:val="FF0000"/>
      <w:sz w:val="20"/>
      <w:szCs w:val="20"/>
      <w:u w:val="none"/>
      <w:vertAlign w:val="superscript"/>
    </w:rPr>
  </w:style>
  <w:style w:type="character" w:customStyle="1" w:styleId="91">
    <w:name w:val="font201"/>
    <w:qFormat/>
    <w:uiPriority w:val="0"/>
    <w:rPr>
      <w:rFonts w:hint="default" w:ascii="Times New Roman" w:hAnsi="Times New Roman" w:cs="Times New Roman"/>
      <w:color w:val="000000"/>
      <w:sz w:val="20"/>
      <w:szCs w:val="20"/>
      <w:u w:val="none"/>
    </w:rPr>
  </w:style>
  <w:style w:type="character" w:customStyle="1" w:styleId="92">
    <w:name w:val="Char Char8"/>
    <w:qFormat/>
    <w:uiPriority w:val="0"/>
    <w:rPr>
      <w:rFonts w:ascii="Calibri" w:hAnsi="Calibri" w:eastAsia="宋体" w:cs="Times New Roman"/>
      <w:b/>
      <w:bCs/>
      <w:sz w:val="28"/>
      <w:szCs w:val="28"/>
    </w:rPr>
  </w:style>
  <w:style w:type="character" w:customStyle="1" w:styleId="93">
    <w:name w:val="批注主题 Char1"/>
    <w:semiHidden/>
    <w:qFormat/>
    <w:uiPriority w:val="99"/>
    <w:rPr>
      <w:rFonts w:ascii="Times New Roman" w:hAnsi="Times New Roman" w:eastAsia="宋体" w:cs="Times New Roman"/>
      <w:b/>
      <w:bCs/>
      <w:szCs w:val="24"/>
    </w:rPr>
  </w:style>
  <w:style w:type="character" w:customStyle="1" w:styleId="94">
    <w:name w:val="font71"/>
    <w:qFormat/>
    <w:uiPriority w:val="0"/>
    <w:rPr>
      <w:rFonts w:hint="eastAsia" w:ascii="宋体" w:hAnsi="宋体" w:eastAsia="宋体" w:cs="宋体"/>
      <w:color w:val="000000"/>
      <w:sz w:val="20"/>
      <w:szCs w:val="20"/>
      <w:u w:val="none"/>
    </w:rPr>
  </w:style>
  <w:style w:type="character" w:customStyle="1" w:styleId="95">
    <w:name w:val="段落 Char1"/>
    <w:link w:val="96"/>
    <w:qFormat/>
    <w:uiPriority w:val="0"/>
    <w:rPr>
      <w:rFonts w:eastAsia="仿宋_GB2312"/>
      <w:kern w:val="2"/>
      <w:sz w:val="32"/>
      <w:szCs w:val="32"/>
      <w:lang w:val="en-US" w:eastAsia="zh-CN" w:bidi="ar-SA"/>
    </w:rPr>
  </w:style>
  <w:style w:type="paragraph" w:customStyle="1" w:styleId="96">
    <w:name w:val="段落"/>
    <w:link w:val="95"/>
    <w:qFormat/>
    <w:uiPriority w:val="0"/>
    <w:pPr>
      <w:adjustRightInd w:val="0"/>
      <w:snapToGrid w:val="0"/>
      <w:spacing w:before="120" w:after="120" w:line="360" w:lineRule="auto"/>
      <w:ind w:firstLine="640" w:firstLineChars="200"/>
      <w:jc w:val="both"/>
    </w:pPr>
    <w:rPr>
      <w:rFonts w:ascii="Times New Roman" w:hAnsi="Times New Roman" w:eastAsia="仿宋_GB2312" w:cs="Times New Roman"/>
      <w:kern w:val="2"/>
      <w:sz w:val="32"/>
      <w:szCs w:val="32"/>
      <w:lang w:val="en-US" w:eastAsia="zh-CN" w:bidi="ar-SA"/>
    </w:rPr>
  </w:style>
  <w:style w:type="character" w:customStyle="1" w:styleId="97">
    <w:name w:val="font61"/>
    <w:qFormat/>
    <w:uiPriority w:val="0"/>
    <w:rPr>
      <w:rFonts w:hint="eastAsia" w:ascii="宋体" w:hAnsi="宋体" w:eastAsia="宋体" w:cs="宋体"/>
      <w:color w:val="000000"/>
      <w:sz w:val="20"/>
      <w:szCs w:val="20"/>
      <w:u w:val="none"/>
    </w:rPr>
  </w:style>
  <w:style w:type="character" w:customStyle="1" w:styleId="98">
    <w:name w:val="正文文本缩进 2 Char1"/>
    <w:semiHidden/>
    <w:qFormat/>
    <w:uiPriority w:val="99"/>
  </w:style>
  <w:style w:type="character" w:customStyle="1" w:styleId="99">
    <w:name w:val="标题 5 字符"/>
    <w:semiHidden/>
    <w:qFormat/>
    <w:uiPriority w:val="0"/>
    <w:rPr>
      <w:rFonts w:ascii="Calibri" w:hAnsi="Calibri"/>
      <w:b/>
      <w:bCs/>
      <w:kern w:val="2"/>
      <w:sz w:val="28"/>
      <w:szCs w:val="28"/>
    </w:rPr>
  </w:style>
  <w:style w:type="character" w:customStyle="1" w:styleId="100">
    <w:name w:val="font101"/>
    <w:qFormat/>
    <w:uiPriority w:val="0"/>
    <w:rPr>
      <w:rFonts w:hint="eastAsia" w:ascii="宋体" w:hAnsi="宋体" w:eastAsia="宋体" w:cs="宋体"/>
      <w:b/>
      <w:color w:val="000000"/>
      <w:sz w:val="18"/>
      <w:szCs w:val="18"/>
      <w:u w:val="none"/>
    </w:rPr>
  </w:style>
  <w:style w:type="character" w:customStyle="1" w:styleId="101">
    <w:name w:val="font191"/>
    <w:qFormat/>
    <w:uiPriority w:val="0"/>
    <w:rPr>
      <w:rFonts w:ascii="Wingdings 2" w:hAnsi="Wingdings 2" w:eastAsia="Wingdings 2" w:cs="Wingdings 2"/>
      <w:color w:val="000000"/>
      <w:sz w:val="20"/>
      <w:szCs w:val="20"/>
      <w:u w:val="none"/>
    </w:rPr>
  </w:style>
  <w:style w:type="character" w:customStyle="1" w:styleId="102">
    <w:name w:val="项目排列 Char"/>
    <w:link w:val="103"/>
    <w:qFormat/>
    <w:uiPriority w:val="0"/>
    <w:rPr>
      <w:sz w:val="24"/>
      <w:szCs w:val="24"/>
    </w:rPr>
  </w:style>
  <w:style w:type="paragraph" w:customStyle="1" w:styleId="103">
    <w:name w:val="项目排列"/>
    <w:basedOn w:val="1"/>
    <w:link w:val="102"/>
    <w:qFormat/>
    <w:uiPriority w:val="0"/>
    <w:pPr>
      <w:numPr>
        <w:ilvl w:val="0"/>
        <w:numId w:val="3"/>
      </w:numPr>
      <w:tabs>
        <w:tab w:val="left" w:pos="900"/>
      </w:tabs>
      <w:spacing w:beforeLines="50" w:afterLines="50" w:line="300" w:lineRule="auto"/>
    </w:pPr>
    <w:rPr>
      <w:kern w:val="0"/>
      <w:sz w:val="24"/>
      <w:szCs w:val="24"/>
    </w:rPr>
  </w:style>
  <w:style w:type="character" w:customStyle="1" w:styleId="104">
    <w:name w:val="apple-style-span"/>
    <w:qFormat/>
    <w:uiPriority w:val="0"/>
  </w:style>
  <w:style w:type="character" w:customStyle="1" w:styleId="105">
    <w:name w:val="font51"/>
    <w:qFormat/>
    <w:uiPriority w:val="0"/>
    <w:rPr>
      <w:rFonts w:hint="eastAsia" w:ascii="宋体" w:hAnsi="宋体" w:eastAsia="宋体" w:cs="宋体"/>
      <w:b/>
      <w:color w:val="000000"/>
      <w:sz w:val="20"/>
      <w:szCs w:val="20"/>
      <w:u w:val="none"/>
    </w:rPr>
  </w:style>
  <w:style w:type="character" w:customStyle="1" w:styleId="106">
    <w:name w:val="Char Char10"/>
    <w:qFormat/>
    <w:uiPriority w:val="0"/>
    <w:rPr>
      <w:rFonts w:ascii="Arial" w:hAnsi="Arial" w:eastAsia="黑体" w:cs="Times New Roman"/>
      <w:b/>
      <w:bCs/>
      <w:sz w:val="30"/>
      <w:szCs w:val="32"/>
    </w:rPr>
  </w:style>
  <w:style w:type="character" w:customStyle="1" w:styleId="107">
    <w:name w:val="_Style 93"/>
    <w:qFormat/>
    <w:uiPriority w:val="19"/>
    <w:rPr>
      <w:rFonts w:ascii="Times New Roman" w:hAnsi="Times New Roman"/>
      <w:i/>
      <w:iCs/>
      <w:color w:val="808080"/>
      <w:sz w:val="21"/>
      <w:szCs w:val="20"/>
    </w:rPr>
  </w:style>
  <w:style w:type="character" w:customStyle="1" w:styleId="108">
    <w:name w:val="表格样式居中 Char"/>
    <w:link w:val="109"/>
    <w:qFormat/>
    <w:uiPriority w:val="0"/>
    <w:rPr>
      <w:rFonts w:ascii="宋体" w:hAnsi="宋体"/>
      <w:bCs/>
      <w:kern w:val="44"/>
      <w:sz w:val="21"/>
      <w:szCs w:val="21"/>
      <w:lang w:val="zh-CN" w:eastAsia="zh-CN" w:bidi="ar-SA"/>
    </w:rPr>
  </w:style>
  <w:style w:type="paragraph" w:customStyle="1" w:styleId="109">
    <w:name w:val="表格样式居中"/>
    <w:link w:val="108"/>
    <w:qFormat/>
    <w:uiPriority w:val="0"/>
    <w:pPr>
      <w:adjustRightInd w:val="0"/>
      <w:snapToGrid w:val="0"/>
      <w:spacing w:line="360" w:lineRule="auto"/>
      <w:jc w:val="center"/>
    </w:pPr>
    <w:rPr>
      <w:rFonts w:ascii="宋体" w:hAnsi="宋体" w:eastAsia="宋体" w:cs="Times New Roman"/>
      <w:bCs/>
      <w:kern w:val="44"/>
      <w:sz w:val="21"/>
      <w:szCs w:val="21"/>
      <w:lang w:val="zh-CN" w:eastAsia="zh-CN" w:bidi="ar-SA"/>
    </w:rPr>
  </w:style>
  <w:style w:type="character" w:customStyle="1" w:styleId="110">
    <w:name w:val="font241"/>
    <w:qFormat/>
    <w:uiPriority w:val="0"/>
    <w:rPr>
      <w:rFonts w:hint="eastAsia" w:ascii="宋体" w:hAnsi="宋体" w:eastAsia="宋体" w:cs="宋体"/>
      <w:color w:val="000000"/>
      <w:sz w:val="20"/>
      <w:szCs w:val="20"/>
      <w:u w:val="none"/>
    </w:rPr>
  </w:style>
  <w:style w:type="character" w:customStyle="1" w:styleId="111">
    <w:name w:val="一级缩进 Char"/>
    <w:link w:val="112"/>
    <w:qFormat/>
    <w:uiPriority w:val="0"/>
    <w:rPr>
      <w:rFonts w:eastAsia="仿宋_GB2312"/>
      <w:kern w:val="2"/>
      <w:sz w:val="32"/>
      <w:szCs w:val="32"/>
      <w:lang w:val="en-US" w:eastAsia="zh-CN" w:bidi="ar-SA"/>
    </w:rPr>
  </w:style>
  <w:style w:type="paragraph" w:customStyle="1" w:styleId="112">
    <w:name w:val="一级缩进"/>
    <w:link w:val="111"/>
    <w:qFormat/>
    <w:uiPriority w:val="0"/>
    <w:pPr>
      <w:tabs>
        <w:tab w:val="left" w:pos="720"/>
      </w:tabs>
      <w:adjustRightInd w:val="0"/>
      <w:snapToGrid w:val="0"/>
      <w:spacing w:before="120" w:after="120" w:line="360" w:lineRule="auto"/>
      <w:ind w:left="987"/>
      <w:jc w:val="both"/>
    </w:pPr>
    <w:rPr>
      <w:rFonts w:ascii="Times New Roman" w:hAnsi="Times New Roman" w:eastAsia="仿宋_GB2312" w:cs="Times New Roman"/>
      <w:kern w:val="2"/>
      <w:sz w:val="32"/>
      <w:szCs w:val="32"/>
      <w:lang w:val="en-US" w:eastAsia="zh-CN" w:bidi="ar-SA"/>
    </w:rPr>
  </w:style>
  <w:style w:type="character" w:customStyle="1" w:styleId="113">
    <w:name w:val="批注框文本 Char1"/>
    <w:semiHidden/>
    <w:qFormat/>
    <w:uiPriority w:val="99"/>
    <w:rPr>
      <w:rFonts w:ascii="Times New Roman" w:hAnsi="Times New Roman"/>
      <w:kern w:val="2"/>
      <w:sz w:val="18"/>
      <w:szCs w:val="18"/>
    </w:rPr>
  </w:style>
  <w:style w:type="character" w:customStyle="1" w:styleId="114">
    <w:name w:val="列出段落 Char"/>
    <w:link w:val="115"/>
    <w:qFormat/>
    <w:locked/>
    <w:uiPriority w:val="0"/>
    <w:rPr>
      <w:rFonts w:ascii="Calibri" w:hAnsi="Calibri" w:eastAsia="宋体" w:cs="Times New Roman"/>
    </w:rPr>
  </w:style>
  <w:style w:type="paragraph" w:customStyle="1" w:styleId="115">
    <w:name w:val="列出段落1"/>
    <w:basedOn w:val="1"/>
    <w:link w:val="114"/>
    <w:qFormat/>
    <w:uiPriority w:val="0"/>
    <w:pPr>
      <w:ind w:firstLine="200" w:firstLineChars="200"/>
    </w:pPr>
    <w:rPr>
      <w:rFonts w:ascii="Calibri" w:hAnsi="Calibri"/>
      <w:kern w:val="0"/>
      <w:sz w:val="20"/>
      <w:szCs w:val="20"/>
    </w:rPr>
  </w:style>
  <w:style w:type="character" w:customStyle="1" w:styleId="116">
    <w:name w:val="Char Char9"/>
    <w:qFormat/>
    <w:uiPriority w:val="0"/>
    <w:rPr>
      <w:rFonts w:ascii="等线 Light" w:hAnsi="等线 Light" w:eastAsia="等线 Light" w:cs="Times New Roman"/>
      <w:b/>
      <w:bCs/>
      <w:sz w:val="28"/>
      <w:szCs w:val="28"/>
    </w:rPr>
  </w:style>
  <w:style w:type="character" w:customStyle="1" w:styleId="117">
    <w:name w:val="批注文字 Char"/>
    <w:qFormat/>
    <w:uiPriority w:val="99"/>
    <w:rPr>
      <w:kern w:val="2"/>
      <w:sz w:val="21"/>
      <w:szCs w:val="22"/>
    </w:rPr>
  </w:style>
  <w:style w:type="character" w:customStyle="1" w:styleId="118">
    <w:name w:val="表格文字 Char"/>
    <w:link w:val="119"/>
    <w:qFormat/>
    <w:uiPriority w:val="0"/>
    <w:rPr>
      <w:kern w:val="21"/>
      <w:szCs w:val="21"/>
    </w:rPr>
  </w:style>
  <w:style w:type="paragraph" w:customStyle="1" w:styleId="119">
    <w:name w:val="表格文字"/>
    <w:basedOn w:val="1"/>
    <w:link w:val="118"/>
    <w:qFormat/>
    <w:uiPriority w:val="0"/>
    <w:pPr>
      <w:jc w:val="left"/>
    </w:pPr>
    <w:rPr>
      <w:kern w:val="21"/>
      <w:sz w:val="20"/>
      <w:szCs w:val="21"/>
    </w:rPr>
  </w:style>
  <w:style w:type="character" w:customStyle="1" w:styleId="120">
    <w:name w:val="font11"/>
    <w:qFormat/>
    <w:uiPriority w:val="0"/>
    <w:rPr>
      <w:rFonts w:hint="eastAsia" w:ascii="宋体" w:hAnsi="宋体" w:eastAsia="宋体" w:cs="宋体"/>
      <w:color w:val="000000"/>
      <w:sz w:val="20"/>
      <w:szCs w:val="20"/>
      <w:u w:val="none"/>
    </w:rPr>
  </w:style>
  <w:style w:type="character" w:customStyle="1" w:styleId="121">
    <w:name w:val="font21"/>
    <w:qFormat/>
    <w:uiPriority w:val="0"/>
    <w:rPr>
      <w:rFonts w:hint="eastAsia" w:ascii="仿宋_GB2312" w:hAnsi="Times New Roman" w:eastAsia="仿宋_GB2312" w:cs="仿宋_GB2312"/>
      <w:color w:val="000000"/>
      <w:sz w:val="22"/>
      <w:szCs w:val="22"/>
      <w:u w:val="none"/>
    </w:rPr>
  </w:style>
  <w:style w:type="character" w:customStyle="1" w:styleId="122">
    <w:name w:val="正文1 Char Char"/>
    <w:link w:val="56"/>
    <w:qFormat/>
    <w:locked/>
    <w:uiPriority w:val="99"/>
    <w:rPr>
      <w:rFonts w:ascii="微软雅黑" w:hAnsi="微软雅黑" w:eastAsia="微软雅黑"/>
      <w:kern w:val="2"/>
      <w:sz w:val="24"/>
    </w:rPr>
  </w:style>
  <w:style w:type="character" w:customStyle="1" w:styleId="123">
    <w:name w:val="font131"/>
    <w:qFormat/>
    <w:uiPriority w:val="0"/>
    <w:rPr>
      <w:rFonts w:ascii="Wingdings 2" w:hAnsi="Wingdings 2" w:eastAsia="Wingdings 2" w:cs="Wingdings 2"/>
      <w:color w:val="000000"/>
      <w:sz w:val="20"/>
      <w:szCs w:val="20"/>
      <w:u w:val="none"/>
    </w:rPr>
  </w:style>
  <w:style w:type="character" w:customStyle="1" w:styleId="124">
    <w:name w:val="unnamed11"/>
    <w:qFormat/>
    <w:uiPriority w:val="99"/>
    <w:rPr>
      <w:rFonts w:hint="eastAsia" w:ascii="宋体" w:hAnsi="宋体" w:eastAsia="宋体"/>
      <w:sz w:val="21"/>
      <w:szCs w:val="21"/>
    </w:rPr>
  </w:style>
  <w:style w:type="character" w:customStyle="1" w:styleId="125">
    <w:name w:val="font81"/>
    <w:qFormat/>
    <w:uiPriority w:val="0"/>
    <w:rPr>
      <w:rFonts w:ascii="Symbol" w:hAnsi="Symbol" w:cs="Symbol"/>
      <w:color w:val="000000"/>
      <w:sz w:val="20"/>
      <w:szCs w:val="20"/>
      <w:u w:val="none"/>
    </w:rPr>
  </w:style>
  <w:style w:type="character" w:customStyle="1" w:styleId="126">
    <w:name w:val="文档结构图 Char1"/>
    <w:semiHidden/>
    <w:qFormat/>
    <w:uiPriority w:val="99"/>
    <w:rPr>
      <w:rFonts w:ascii="宋体"/>
      <w:kern w:val="2"/>
      <w:sz w:val="18"/>
      <w:szCs w:val="18"/>
    </w:rPr>
  </w:style>
  <w:style w:type="character" w:customStyle="1" w:styleId="127">
    <w:name w:val="正文文本 3 Char1"/>
    <w:semiHidden/>
    <w:qFormat/>
    <w:uiPriority w:val="99"/>
    <w:rPr>
      <w:kern w:val="2"/>
      <w:sz w:val="16"/>
      <w:szCs w:val="16"/>
    </w:rPr>
  </w:style>
  <w:style w:type="character" w:customStyle="1" w:styleId="128">
    <w:name w:val="font221"/>
    <w:qFormat/>
    <w:uiPriority w:val="0"/>
    <w:rPr>
      <w:rFonts w:hint="eastAsia" w:ascii="宋体" w:hAnsi="宋体" w:eastAsia="宋体" w:cs="宋体"/>
      <w:b/>
      <w:color w:val="000000"/>
      <w:sz w:val="20"/>
      <w:szCs w:val="20"/>
      <w:u w:val="none"/>
    </w:rPr>
  </w:style>
  <w:style w:type="character" w:customStyle="1" w:styleId="129">
    <w:name w:val="正文文本缩进 Char1"/>
    <w:semiHidden/>
    <w:qFormat/>
    <w:uiPriority w:val="99"/>
  </w:style>
  <w:style w:type="character" w:customStyle="1" w:styleId="130">
    <w:name w:val="NormalCharacter"/>
    <w:qFormat/>
    <w:uiPriority w:val="0"/>
    <w:rPr>
      <w:kern w:val="2"/>
      <w:sz w:val="21"/>
      <w:szCs w:val="22"/>
      <w:lang w:val="en-US" w:eastAsia="zh-CN" w:bidi="ar-SA"/>
    </w:rPr>
  </w:style>
  <w:style w:type="character" w:customStyle="1" w:styleId="131">
    <w:name w:val="font111"/>
    <w:qFormat/>
    <w:uiPriority w:val="0"/>
    <w:rPr>
      <w:rFonts w:hint="eastAsia" w:ascii="宋体" w:hAnsi="宋体" w:eastAsia="宋体" w:cs="宋体"/>
      <w:color w:val="FF0000"/>
      <w:sz w:val="18"/>
      <w:szCs w:val="18"/>
      <w:u w:val="none"/>
    </w:rPr>
  </w:style>
  <w:style w:type="character" w:customStyle="1" w:styleId="132">
    <w:name w:val="Char Char11"/>
    <w:qFormat/>
    <w:uiPriority w:val="0"/>
    <w:rPr>
      <w:rFonts w:ascii="Arial" w:hAnsi="Arial" w:eastAsia="宋体" w:cs="Times New Roman"/>
      <w:b/>
      <w:bCs/>
      <w:sz w:val="28"/>
      <w:szCs w:val="36"/>
    </w:rPr>
  </w:style>
  <w:style w:type="character" w:customStyle="1" w:styleId="133">
    <w:name w:val="top_title1"/>
    <w:qFormat/>
    <w:uiPriority w:val="0"/>
    <w:rPr>
      <w:b/>
      <w:bCs/>
      <w:color w:val="333333"/>
      <w:sz w:val="24"/>
      <w:szCs w:val="24"/>
    </w:rPr>
  </w:style>
  <w:style w:type="character" w:customStyle="1" w:styleId="134">
    <w:name w:val="正文缩进 Char1"/>
    <w:qFormat/>
    <w:locked/>
    <w:uiPriority w:val="0"/>
    <w:rPr>
      <w:rFonts w:ascii="Times New Roman" w:hAnsi="Times New Roman" w:eastAsia="宋体" w:cs="Times New Roman"/>
      <w:szCs w:val="20"/>
    </w:rPr>
  </w:style>
  <w:style w:type="character" w:customStyle="1" w:styleId="135">
    <w:name w:val="Char Char12"/>
    <w:qFormat/>
    <w:uiPriority w:val="0"/>
    <w:rPr>
      <w:b/>
      <w:bCs/>
      <w:kern w:val="44"/>
      <w:sz w:val="44"/>
      <w:szCs w:val="44"/>
    </w:rPr>
  </w:style>
  <w:style w:type="character" w:customStyle="1" w:styleId="136">
    <w:name w:val="font41"/>
    <w:qFormat/>
    <w:uiPriority w:val="0"/>
    <w:rPr>
      <w:rFonts w:hint="eastAsia" w:ascii="宋体" w:hAnsi="宋体" w:eastAsia="宋体"/>
      <w:color w:val="000000"/>
      <w:sz w:val="32"/>
      <w:szCs w:val="32"/>
      <w:u w:val="none"/>
    </w:rPr>
  </w:style>
  <w:style w:type="character" w:customStyle="1" w:styleId="137">
    <w:name w:val="font91"/>
    <w:qFormat/>
    <w:uiPriority w:val="0"/>
    <w:rPr>
      <w:rFonts w:hint="eastAsia" w:ascii="宋体" w:hAnsi="宋体" w:eastAsia="宋体" w:cs="宋体"/>
      <w:color w:val="000000"/>
      <w:sz w:val="16"/>
      <w:szCs w:val="16"/>
      <w:u w:val="none"/>
    </w:rPr>
  </w:style>
  <w:style w:type="character" w:customStyle="1" w:styleId="138">
    <w:name w:val="hover4"/>
    <w:qFormat/>
    <w:uiPriority w:val="0"/>
    <w:rPr>
      <w:color w:val="999999"/>
    </w:rPr>
  </w:style>
  <w:style w:type="character" w:customStyle="1" w:styleId="139">
    <w:name w:val="ca-161"/>
    <w:qFormat/>
    <w:uiPriority w:val="0"/>
    <w:rPr>
      <w:rFonts w:hint="eastAsia" w:ascii="宋体" w:hAnsi="宋体" w:eastAsia="宋体"/>
      <w:spacing w:val="0"/>
      <w:sz w:val="21"/>
      <w:szCs w:val="21"/>
    </w:rPr>
  </w:style>
  <w:style w:type="character" w:customStyle="1" w:styleId="140">
    <w:name w:val="font161"/>
    <w:qFormat/>
    <w:uiPriority w:val="0"/>
    <w:rPr>
      <w:rFonts w:hint="eastAsia" w:ascii="宋体" w:hAnsi="宋体" w:eastAsia="宋体" w:cs="宋体"/>
      <w:b/>
      <w:color w:val="FF0000"/>
      <w:sz w:val="20"/>
      <w:szCs w:val="20"/>
      <w:u w:val="none"/>
    </w:rPr>
  </w:style>
  <w:style w:type="character" w:customStyle="1" w:styleId="141">
    <w:name w:val="font141"/>
    <w:qFormat/>
    <w:uiPriority w:val="0"/>
    <w:rPr>
      <w:rFonts w:hint="eastAsia" w:ascii="宋体" w:hAnsi="宋体" w:eastAsia="宋体" w:cs="宋体"/>
      <w:color w:val="FF0000"/>
      <w:sz w:val="20"/>
      <w:szCs w:val="20"/>
      <w:u w:val="none"/>
      <w:vertAlign w:val="superscript"/>
    </w:rPr>
  </w:style>
  <w:style w:type="character" w:customStyle="1" w:styleId="142">
    <w:name w:val="H2 Char"/>
    <w:qFormat/>
    <w:uiPriority w:val="0"/>
    <w:rPr>
      <w:rFonts w:ascii="Arial" w:hAnsi="Arial" w:eastAsia="黑体" w:cs="Times New Roman"/>
      <w:b/>
      <w:bCs/>
      <w:sz w:val="32"/>
      <w:szCs w:val="32"/>
    </w:rPr>
  </w:style>
  <w:style w:type="character" w:customStyle="1" w:styleId="143">
    <w:name w:val="font171"/>
    <w:qFormat/>
    <w:uiPriority w:val="0"/>
    <w:rPr>
      <w:rFonts w:hint="eastAsia" w:ascii="宋体" w:hAnsi="宋体" w:eastAsia="宋体" w:cs="宋体"/>
      <w:color w:val="000000"/>
      <w:sz w:val="20"/>
      <w:szCs w:val="20"/>
      <w:u w:val="none"/>
    </w:rPr>
  </w:style>
  <w:style w:type="character" w:customStyle="1" w:styleId="144">
    <w:name w:val="无间隔 Char"/>
    <w:link w:val="145"/>
    <w:qFormat/>
    <w:locked/>
    <w:uiPriority w:val="0"/>
    <w:rPr>
      <w:kern w:val="2"/>
      <w:sz w:val="21"/>
      <w:szCs w:val="22"/>
      <w:lang w:val="en-US" w:eastAsia="zh-CN" w:bidi="ar-SA"/>
    </w:rPr>
  </w:style>
  <w:style w:type="paragraph" w:customStyle="1" w:styleId="145">
    <w:name w:val="msonospacing"/>
    <w:link w:val="14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6">
    <w:name w:val="正文 1.1"/>
    <w:basedOn w:val="1"/>
    <w:next w:val="147"/>
    <w:qFormat/>
    <w:uiPriority w:val="0"/>
    <w:pPr>
      <w:numPr>
        <w:ilvl w:val="1"/>
        <w:numId w:val="4"/>
      </w:numPr>
      <w:ind w:firstLine="550"/>
      <w:outlineLvl w:val="1"/>
    </w:pPr>
    <w:rPr>
      <w:rFonts w:ascii="仿宋" w:hAnsi="仿宋"/>
      <w:b/>
    </w:rPr>
  </w:style>
  <w:style w:type="paragraph" w:customStyle="1" w:styleId="147">
    <w:name w:val="正文 1.1.1"/>
    <w:basedOn w:val="1"/>
    <w:next w:val="1"/>
    <w:qFormat/>
    <w:uiPriority w:val="0"/>
    <w:pPr>
      <w:numPr>
        <w:ilvl w:val="2"/>
        <w:numId w:val="4"/>
      </w:numPr>
      <w:outlineLvl w:val="2"/>
    </w:pPr>
    <w:rPr>
      <w:rFonts w:hAnsi="宋体"/>
      <w:color w:val="FF0000"/>
    </w:rPr>
  </w:style>
  <w:style w:type="paragraph" w:customStyle="1" w:styleId="148">
    <w:name w:val="Char1 Char Char Char Char Char Char"/>
    <w:basedOn w:val="1"/>
    <w:qFormat/>
    <w:uiPriority w:val="0"/>
    <w:rPr>
      <w:szCs w:val="24"/>
    </w:rPr>
  </w:style>
  <w:style w:type="paragraph" w:customStyle="1" w:styleId="149">
    <w:name w:val="ListBullet2"/>
    <w:basedOn w:val="1"/>
    <w:qFormat/>
    <w:uiPriority w:val="0"/>
    <w:pPr>
      <w:tabs>
        <w:tab w:val="left" w:pos="780"/>
      </w:tabs>
      <w:ind w:left="780" w:hanging="360"/>
      <w:textAlignment w:val="baseline"/>
    </w:pPr>
  </w:style>
  <w:style w:type="paragraph" w:customStyle="1" w:styleId="150">
    <w:name w:val="正文 A"/>
    <w:qFormat/>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51">
    <w:name w:val="unnamed1"/>
    <w:basedOn w:val="1"/>
    <w:qFormat/>
    <w:uiPriority w:val="0"/>
    <w:pPr>
      <w:widowControl/>
      <w:spacing w:before="100" w:beforeAutospacing="1" w:after="100" w:afterAutospacing="1" w:line="288" w:lineRule="auto"/>
      <w:jc w:val="left"/>
    </w:pPr>
    <w:rPr>
      <w:rFonts w:hint="eastAsia" w:ascii="宋体" w:hAnsi="宋体"/>
      <w:kern w:val="0"/>
      <w:szCs w:val="21"/>
    </w:rPr>
  </w:style>
  <w:style w:type="paragraph" w:customStyle="1" w:styleId="152">
    <w:name w:val="文档标题"/>
    <w:basedOn w:val="1"/>
    <w:qFormat/>
    <w:uiPriority w:val="0"/>
    <w:pPr>
      <w:spacing w:beforeLines="100" w:afterLines="100" w:line="300" w:lineRule="auto"/>
      <w:jc w:val="center"/>
    </w:pPr>
    <w:rPr>
      <w:rFonts w:ascii="Arial" w:hAnsi="Arial" w:eastAsia="黑体" w:cs="Arial"/>
      <w:b/>
      <w:sz w:val="48"/>
      <w:szCs w:val="32"/>
    </w:rPr>
  </w:style>
  <w:style w:type="paragraph" w:customStyle="1" w:styleId="153">
    <w:name w:val="Char"/>
    <w:basedOn w:val="1"/>
    <w:qFormat/>
    <w:uiPriority w:val="0"/>
    <w:pPr>
      <w:tabs>
        <w:tab w:val="left" w:pos="360"/>
      </w:tabs>
      <w:ind w:firstLine="200" w:firstLineChars="200"/>
    </w:pPr>
    <w:rPr>
      <w:sz w:val="28"/>
      <w:szCs w:val="30"/>
    </w:rPr>
  </w:style>
  <w:style w:type="paragraph" w:customStyle="1" w:styleId="154">
    <w:name w:val="Char1"/>
    <w:basedOn w:val="1"/>
    <w:qFormat/>
    <w:uiPriority w:val="0"/>
    <w:rPr>
      <w:rFonts w:ascii="仿宋_GB2312" w:eastAsia="仿宋_GB2312"/>
      <w:b/>
      <w:sz w:val="32"/>
      <w:szCs w:val="32"/>
    </w:rPr>
  </w:style>
  <w:style w:type="paragraph" w:customStyle="1" w:styleId="155">
    <w:name w:val="FUNO正文"/>
    <w:qFormat/>
    <w:uiPriority w:val="0"/>
    <w:pPr>
      <w:spacing w:line="360" w:lineRule="auto"/>
      <w:ind w:firstLine="480" w:firstLineChars="200"/>
      <w:jc w:val="both"/>
    </w:pPr>
    <w:rPr>
      <w:rFonts w:ascii="宋体" w:hAnsi="宋体" w:eastAsia="宋体" w:cs="Times New Roman"/>
      <w:kern w:val="2"/>
      <w:sz w:val="24"/>
      <w:szCs w:val="21"/>
      <w:lang w:val="en-US" w:eastAsia="zh-CN" w:bidi="ar-SA"/>
    </w:rPr>
  </w:style>
  <w:style w:type="paragraph" w:customStyle="1" w:styleId="156">
    <w:name w:val="Normal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7">
    <w:name w:val="List Paragraph1"/>
    <w:basedOn w:val="1"/>
    <w:qFormat/>
    <w:uiPriority w:val="0"/>
    <w:pPr>
      <w:ind w:firstLine="420" w:firstLineChars="200"/>
    </w:pPr>
    <w:rPr>
      <w:szCs w:val="20"/>
    </w:rPr>
  </w:style>
  <w:style w:type="paragraph" w:customStyle="1" w:styleId="158">
    <w:name w:val="CD 正文"/>
    <w:basedOn w:val="1"/>
    <w:qFormat/>
    <w:uiPriority w:val="0"/>
    <w:pPr>
      <w:jc w:val="left"/>
    </w:pPr>
    <w:rPr>
      <w:rFonts w:ascii="Arial" w:hAnsi="Arial" w:eastAsia="微软雅黑" w:cs="Arial"/>
      <w:szCs w:val="21"/>
    </w:rPr>
  </w:style>
  <w:style w:type="paragraph" w:customStyle="1" w:styleId="159">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60">
    <w:name w:val="Default Paragraph Font Para Char"/>
    <w:basedOn w:val="1"/>
    <w:qFormat/>
    <w:uiPriority w:val="0"/>
    <w:pPr>
      <w:widowControl/>
      <w:spacing w:beforeLines="50" w:after="160" w:line="240" w:lineRule="exact"/>
      <w:jc w:val="left"/>
    </w:pPr>
    <w:rPr>
      <w:rFonts w:ascii="Verdana" w:hAnsi="Verdana"/>
      <w:kern w:val="0"/>
      <w:sz w:val="20"/>
      <w:szCs w:val="20"/>
      <w:lang w:eastAsia="en-US"/>
    </w:rPr>
  </w:style>
  <w:style w:type="paragraph" w:customStyle="1" w:styleId="161">
    <w:name w:val="正文缩进1"/>
    <w:basedOn w:val="1"/>
    <w:qFormat/>
    <w:uiPriority w:val="0"/>
    <w:pPr>
      <w:widowControl/>
      <w:spacing w:line="360" w:lineRule="auto"/>
      <w:ind w:firstLine="420"/>
      <w:jc w:val="left"/>
    </w:pPr>
    <w:rPr>
      <w:rFonts w:ascii="宋体"/>
      <w:kern w:val="0"/>
      <w:sz w:val="20"/>
      <w:szCs w:val="20"/>
    </w:rPr>
  </w:style>
  <w:style w:type="paragraph" w:customStyle="1" w:styleId="162">
    <w:name w:val="Char2"/>
    <w:basedOn w:val="1"/>
    <w:qFormat/>
    <w:uiPriority w:val="0"/>
    <w:pPr>
      <w:tabs>
        <w:tab w:val="left" w:pos="1350"/>
      </w:tabs>
      <w:ind w:left="1350" w:hanging="1350"/>
    </w:pPr>
    <w:rPr>
      <w:sz w:val="24"/>
      <w:szCs w:val="24"/>
    </w:rPr>
  </w:style>
  <w:style w:type="paragraph" w:customStyle="1" w:styleId="163">
    <w:name w:val="纯文本1"/>
    <w:qFormat/>
    <w:uiPriority w:val="0"/>
    <w:pPr>
      <w:framePr w:wrap="around" w:vAnchor="margin" w:hAnchor="text" w:yAlign="top"/>
      <w:spacing w:before="100" w:after="100"/>
    </w:pPr>
    <w:rPr>
      <w:rFonts w:ascii="宋体" w:hAnsi="宋体" w:eastAsia="宋体" w:cs="宋体"/>
      <w:color w:val="000000"/>
      <w:sz w:val="24"/>
      <w:szCs w:val="24"/>
      <w:u w:color="000000"/>
      <w:lang w:val="en-US" w:eastAsia="zh-CN" w:bidi="ar-SA"/>
    </w:rPr>
  </w:style>
  <w:style w:type="paragraph" w:customStyle="1" w:styleId="164">
    <w:name w:val="Char Char Char Char Char Char Char"/>
    <w:basedOn w:val="12"/>
    <w:qFormat/>
    <w:uiPriority w:val="0"/>
    <w:pPr>
      <w:shd w:val="clear" w:color="auto" w:fill="000080"/>
    </w:pPr>
    <w:rPr>
      <w:rFonts w:ascii="Times New Roman"/>
      <w:sz w:val="21"/>
      <w:szCs w:val="20"/>
    </w:rPr>
  </w:style>
  <w:style w:type="paragraph" w:customStyle="1" w:styleId="165">
    <w:name w:val="文档正文"/>
    <w:basedOn w:val="1"/>
    <w:qFormat/>
    <w:uiPriority w:val="0"/>
    <w:pPr>
      <w:adjustRightInd w:val="0"/>
      <w:spacing w:line="480" w:lineRule="atLeast"/>
      <w:ind w:firstLine="567"/>
      <w:textAlignment w:val="baseline"/>
    </w:pPr>
    <w:rPr>
      <w:rFonts w:ascii="仿宋_GB2312" w:eastAsia="仿宋_GB2312"/>
      <w:kern w:val="0"/>
      <w:sz w:val="28"/>
      <w:szCs w:val="24"/>
    </w:rPr>
  </w:style>
  <w:style w:type="paragraph" w:styleId="166">
    <w:name w:val="List Paragraph"/>
    <w:basedOn w:val="1"/>
    <w:qFormat/>
    <w:uiPriority w:val="34"/>
    <w:pPr>
      <w:ind w:left="720"/>
    </w:pPr>
    <w:rPr>
      <w:szCs w:val="21"/>
    </w:rPr>
  </w:style>
  <w:style w:type="paragraph" w:customStyle="1" w:styleId="167">
    <w:name w:val="二级目录"/>
    <w:next w:val="1"/>
    <w:qFormat/>
    <w:uiPriority w:val="0"/>
    <w:pPr>
      <w:numPr>
        <w:ilvl w:val="0"/>
        <w:numId w:val="5"/>
      </w:numPr>
      <w:outlineLvl w:val="1"/>
    </w:pPr>
    <w:rPr>
      <w:rFonts w:ascii="Times New Roman" w:hAnsi="Times New Roman" w:eastAsia="宋体" w:cs="Times New Roman"/>
      <w:b/>
      <w:kern w:val="2"/>
      <w:sz w:val="30"/>
      <w:szCs w:val="28"/>
      <w:lang w:val="en-US" w:eastAsia="zh-CN" w:bidi="ar-SA"/>
    </w:rPr>
  </w:style>
  <w:style w:type="paragraph" w:customStyle="1" w:styleId="168">
    <w:name w:val="p0"/>
    <w:basedOn w:val="1"/>
    <w:qFormat/>
    <w:uiPriority w:val="0"/>
    <w:pPr>
      <w:widowControl/>
    </w:pPr>
    <w:rPr>
      <w:kern w:val="0"/>
      <w:szCs w:val="21"/>
    </w:rPr>
  </w:style>
  <w:style w:type="paragraph" w:customStyle="1" w:styleId="169">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styleId="170">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1">
    <w:name w:val="_Style 2"/>
    <w:basedOn w:val="1"/>
    <w:qFormat/>
    <w:uiPriority w:val="34"/>
    <w:pPr>
      <w:ind w:firstLine="420" w:firstLineChars="200"/>
    </w:pPr>
    <w:rPr>
      <w:szCs w:val="24"/>
    </w:rPr>
  </w:style>
  <w:style w:type="paragraph" w:customStyle="1" w:styleId="172">
    <w:name w:val="Table Paragraph"/>
    <w:basedOn w:val="1"/>
    <w:qFormat/>
    <w:uiPriority w:val="1"/>
    <w:rPr>
      <w:rFonts w:ascii="Calibri" w:hAnsi="Calibri"/>
      <w:lang w:eastAsia="en-US"/>
    </w:rPr>
  </w:style>
  <w:style w:type="character" w:customStyle="1" w:styleId="173">
    <w:name w:val="font31"/>
    <w:qFormat/>
    <w:uiPriority w:val="0"/>
    <w:rPr>
      <w:rFonts w:hint="eastAsia" w:ascii="宋体" w:hAnsi="宋体" w:eastAsia="宋体"/>
      <w:color w:val="000000"/>
      <w:sz w:val="21"/>
      <w:szCs w:val="21"/>
      <w:u w:val="none"/>
    </w:rPr>
  </w:style>
  <w:style w:type="paragraph" w:customStyle="1" w:styleId="174">
    <w:name w:val="UserStyle_0"/>
    <w:basedOn w:val="1"/>
    <w:qFormat/>
    <w:uiPriority w:val="0"/>
    <w:pPr>
      <w:ind w:firstLine="480" w:firstLineChars="200"/>
      <w:textAlignment w:val="baseline"/>
    </w:pPr>
  </w:style>
  <w:style w:type="character" w:customStyle="1" w:styleId="175">
    <w:name w:val="页脚 字符"/>
    <w:qFormat/>
    <w:uiPriority w:val="99"/>
    <w:rPr>
      <w:kern w:val="2"/>
      <w:sz w:val="18"/>
      <w:szCs w:val="18"/>
    </w:rPr>
  </w:style>
  <w:style w:type="paragraph" w:customStyle="1" w:styleId="176">
    <w:name w:val="一级标题"/>
    <w:basedOn w:val="1"/>
    <w:qFormat/>
    <w:uiPriority w:val="0"/>
    <w:pPr>
      <w:spacing w:line="360" w:lineRule="auto"/>
      <w:jc w:val="center"/>
      <w:outlineLvl w:val="0"/>
    </w:pPr>
    <w:rPr>
      <w:rFonts w:asciiTheme="minorEastAsia" w:hAnsiTheme="minorEastAsia" w:eastAsiaTheme="minorEastAsia"/>
      <w:b/>
      <w:bCs/>
      <w:kern w:val="32"/>
      <w:sz w:val="28"/>
      <w:szCs w:val="28"/>
      <w:lang w:val="zh-CN"/>
    </w:rPr>
  </w:style>
  <w:style w:type="paragraph" w:customStyle="1" w:styleId="177">
    <w:name w:val="二级标题"/>
    <w:basedOn w:val="3"/>
    <w:qFormat/>
    <w:uiPriority w:val="0"/>
    <w:pPr>
      <w:spacing w:line="440" w:lineRule="exact"/>
    </w:pPr>
    <w:rPr>
      <w:rFonts w:asciiTheme="minorEastAsia" w:hAnsiTheme="minorEastAsia" w:eastAsiaTheme="minorEastAsia"/>
      <w:sz w:val="24"/>
      <w:szCs w:val="24"/>
    </w:rPr>
  </w:style>
  <w:style w:type="paragraph" w:customStyle="1" w:styleId="178">
    <w:name w:val="宋体，行距22磅，首行缩进2字符"/>
    <w:basedOn w:val="1"/>
    <w:qFormat/>
    <w:uiPriority w:val="0"/>
    <w:pPr>
      <w:spacing w:line="440" w:lineRule="exact"/>
      <w:ind w:firstLine="480" w:firstLineChars="200"/>
    </w:pPr>
    <w:rPr>
      <w:rFonts w:asciiTheme="minorEastAsia" w:hAnsiTheme="minorEastAsia" w:eastAsiaTheme="minorEastAsia"/>
      <w:bCs/>
      <w:sz w:val="24"/>
    </w:rPr>
  </w:style>
  <w:style w:type="paragraph" w:customStyle="1" w:styleId="179">
    <w:name w:val="三级标题"/>
    <w:basedOn w:val="180"/>
    <w:qFormat/>
    <w:uiPriority w:val="0"/>
    <w:pPr>
      <w:tabs>
        <w:tab w:val="left" w:pos="3836"/>
      </w:tabs>
      <w:spacing w:line="440" w:lineRule="exact"/>
      <w:ind w:firstLine="0" w:firstLineChars="0"/>
      <w:outlineLvl w:val="2"/>
    </w:pPr>
    <w:rPr>
      <w:rFonts w:asciiTheme="minorEastAsia" w:hAnsiTheme="minorEastAsia" w:eastAsiaTheme="minorEastAsia"/>
      <w:sz w:val="24"/>
      <w:szCs w:val="24"/>
    </w:rPr>
  </w:style>
  <w:style w:type="paragraph" w:customStyle="1" w:styleId="180">
    <w:name w:val="样式15"/>
    <w:basedOn w:val="21"/>
    <w:qFormat/>
    <w:uiPriority w:val="0"/>
    <w:pPr>
      <w:tabs>
        <w:tab w:val="left" w:pos="3836"/>
      </w:tabs>
      <w:spacing w:line="500" w:lineRule="exact"/>
      <w:ind w:firstLine="566" w:firstLineChars="202"/>
    </w:pPr>
    <w:rPr>
      <w:rFonts w:eastAsia="Times New Roman"/>
      <w:szCs w:val="20"/>
    </w:rPr>
  </w:style>
  <w:style w:type="character" w:customStyle="1" w:styleId="181">
    <w:name w:val="fontstyle01"/>
    <w:basedOn w:val="36"/>
    <w:qFormat/>
    <w:uiPriority w:val="0"/>
    <w:rPr>
      <w:rFonts w:ascii="宋体" w:hAnsi="宋体" w:eastAsia="宋体" w:cs="宋体"/>
      <w:color w:val="000000"/>
      <w:sz w:val="24"/>
      <w:szCs w:val="24"/>
    </w:rPr>
  </w:style>
  <w:style w:type="character" w:customStyle="1" w:styleId="182">
    <w:name w:val="fontstyle21"/>
    <w:basedOn w:val="36"/>
    <w:qFormat/>
    <w:uiPriority w:val="0"/>
    <w:rPr>
      <w:rFonts w:ascii="TimesNewRomanPSMT" w:hAnsi="TimesNewRomanPSMT" w:eastAsia="TimesNewRomanPSMT" w:cs="TimesNewRomanPSMT"/>
      <w:color w:val="000000"/>
      <w:sz w:val="24"/>
      <w:szCs w:val="24"/>
    </w:rPr>
  </w:style>
  <w:style w:type="paragraph" w:customStyle="1" w:styleId="183">
    <w:name w:val="Table Text"/>
    <w:basedOn w:val="1"/>
    <w:semiHidden/>
    <w:qFormat/>
    <w:uiPriority w:val="0"/>
    <w:rPr>
      <w:rFonts w:ascii="宋体" w:hAnsi="宋体" w:cs="宋体"/>
      <w:sz w:val="28"/>
      <w:szCs w:val="28"/>
      <w:lang w:eastAsia="en-US"/>
    </w:rPr>
  </w:style>
  <w:style w:type="paragraph" w:customStyle="1" w:styleId="184">
    <w:name w:val="正文11"/>
    <w:next w:val="185"/>
    <w:qFormat/>
    <w:uiPriority w:val="0"/>
    <w:pPr>
      <w:widowControl w:val="0"/>
      <w:jc w:val="both"/>
    </w:pPr>
    <w:rPr>
      <w:rFonts w:ascii="Calibri" w:hAnsi="Calibri" w:eastAsia="宋体" w:cs="Times New Roman"/>
      <w:sz w:val="21"/>
      <w:szCs w:val="21"/>
      <w:lang w:val="en-US" w:eastAsia="zh-CN" w:bidi="ar-SA"/>
    </w:rPr>
  </w:style>
  <w:style w:type="paragraph" w:customStyle="1" w:styleId="185">
    <w:name w:val="正文首行缩进 21"/>
    <w:basedOn w:val="186"/>
    <w:qFormat/>
    <w:uiPriority w:val="0"/>
    <w:pPr>
      <w:ind w:firstLine="420"/>
    </w:pPr>
    <w:rPr>
      <w:sz w:val="20"/>
    </w:rPr>
  </w:style>
  <w:style w:type="paragraph" w:customStyle="1" w:styleId="186">
    <w:name w:val="正文文本缩进1"/>
    <w:basedOn w:val="184"/>
    <w:next w:val="187"/>
    <w:qFormat/>
    <w:uiPriority w:val="0"/>
    <w:pPr>
      <w:spacing w:line="400" w:lineRule="exact"/>
      <w:ind w:firstLine="540"/>
    </w:pPr>
    <w:rPr>
      <w:sz w:val="24"/>
    </w:rPr>
  </w:style>
  <w:style w:type="paragraph" w:customStyle="1" w:styleId="187">
    <w:name w:val="寄信人地址1"/>
    <w:basedOn w:val="184"/>
    <w:qFormat/>
    <w:uiPriority w:val="0"/>
    <w:rPr>
      <w:rFonts w:ascii="Arial" w:hAnsi="Arial"/>
    </w:rPr>
  </w:style>
  <w:style w:type="paragraph" w:customStyle="1" w:styleId="188">
    <w:name w:val="正文_0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9">
    <w:name w:val="标题 31"/>
    <w:basedOn w:val="56"/>
    <w:next w:val="1"/>
    <w:qFormat/>
    <w:uiPriority w:val="0"/>
    <w:pPr>
      <w:keepNext/>
      <w:keepLines/>
      <w:spacing w:before="260" w:after="260" w:line="413" w:lineRule="auto"/>
      <w:outlineLvl w:val="2"/>
    </w:pPr>
    <w:rPr>
      <w:rFonts w:eastAsia="宋体"/>
      <w:b/>
      <w:sz w:val="32"/>
    </w:rPr>
  </w:style>
  <w:style w:type="paragraph" w:customStyle="1" w:styleId="190">
    <w:name w:val="表格样式 2 A"/>
    <w:qFormat/>
    <w:uiPriority w:val="0"/>
    <w:rPr>
      <w:rFonts w:hint="eastAsia" w:ascii="Arial Unicode MS" w:hAnsi="Arial Unicode MS" w:eastAsia="Helvetica Neue" w:cs="Arial Unicode MS"/>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21339</Words>
  <Characters>22437</Characters>
  <Lines>34</Lines>
  <Paragraphs>81</Paragraphs>
  <TotalTime>12</TotalTime>
  <ScaleCrop>false</ScaleCrop>
  <LinksUpToDate>false</LinksUpToDate>
  <CharactersWithSpaces>24377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2017-10-30T05:22:00Z</dcterms:created>
  <dc:creator>二九</dc:creator>
  <cp:lastModifiedBy>加油小兔</cp:lastModifiedBy>
  <cp:lastPrinted>2025-06-04T06:39:00Z</cp:lastPrinted>
  <dcterms:modified xsi:type="dcterms:W3CDTF">2025-06-05T11:11:17Z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5B85FC9AEB7C47B481686B62DD68E609_13</vt:lpwstr>
  </property>
  <property fmtid="{D5CDD505-2E9C-101B-9397-08002B2CF9AE}" pid="4" name="KSOTemplateDocerSaveRecord">
    <vt:lpwstr>eyJoZGlkIjoiMWU4ZTlkZWY0ZWRiMzcwNDY3YTE1NWZhMTRjNTgwOGYiLCJ1c2VySWQiOiI4NjI2NDMwMjMifQ==</vt:lpwstr>
  </property>
</Properties>
</file>